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2F446" w14:textId="77777777" w:rsidR="00C2316C" w:rsidRDefault="00C2316C" w:rsidP="00C2316C">
      <w:pPr>
        <w:shd w:val="clear" w:color="auto" w:fill="FFFFFF"/>
        <w:ind w:firstLine="709"/>
        <w:jc w:val="both"/>
        <w:rPr>
          <w:b/>
          <w:color w:val="212121"/>
          <w:shd w:val="clear" w:color="auto" w:fill="FFFFFF"/>
        </w:rPr>
      </w:pPr>
      <w:r>
        <w:rPr>
          <w:b/>
          <w:color w:val="212121"/>
          <w:shd w:val="clear" w:color="auto" w:fill="FFFFFF"/>
        </w:rPr>
        <w:t xml:space="preserve">A Qualidade das Informações Financeiras para análise dos Projetos de </w:t>
      </w:r>
      <w:r>
        <w:rPr>
          <w:b/>
          <w:i/>
          <w:color w:val="212121"/>
          <w:shd w:val="clear" w:color="auto" w:fill="FFFFFF"/>
        </w:rPr>
        <w:t xml:space="preserve">Animal </w:t>
      </w:r>
      <w:proofErr w:type="spellStart"/>
      <w:r>
        <w:rPr>
          <w:b/>
          <w:i/>
          <w:color w:val="212121"/>
          <w:shd w:val="clear" w:color="auto" w:fill="FFFFFF"/>
        </w:rPr>
        <w:t>Waste</w:t>
      </w:r>
      <w:proofErr w:type="spellEnd"/>
      <w:r>
        <w:rPr>
          <w:b/>
          <w:i/>
          <w:color w:val="212121"/>
          <w:shd w:val="clear" w:color="auto" w:fill="FFFFFF"/>
        </w:rPr>
        <w:t xml:space="preserve"> Management System</w:t>
      </w:r>
      <w:r>
        <w:rPr>
          <w:b/>
          <w:color w:val="212121"/>
          <w:shd w:val="clear" w:color="auto" w:fill="FFFFFF"/>
        </w:rPr>
        <w:t xml:space="preserve"> (AWMS) no âmbito do Protocolo de Quioto.</w:t>
      </w:r>
    </w:p>
    <w:p w14:paraId="0441D775" w14:textId="77777777" w:rsidR="00C2316C" w:rsidRDefault="00C2316C" w:rsidP="00C2316C">
      <w:pPr>
        <w:ind w:firstLine="709"/>
        <w:jc w:val="both"/>
        <w:rPr>
          <w:bCs/>
          <w:color w:val="212121"/>
          <w:shd w:val="clear" w:color="auto" w:fill="FFFFFF"/>
        </w:rPr>
      </w:pPr>
    </w:p>
    <w:p w14:paraId="6CF3558E" w14:textId="77777777" w:rsidR="00C2316C" w:rsidRDefault="00C2316C" w:rsidP="00C2316C">
      <w:pPr>
        <w:jc w:val="both"/>
        <w:rPr>
          <w:b/>
          <w:color w:val="212121"/>
          <w:shd w:val="clear" w:color="auto" w:fill="FFFFFF"/>
        </w:rPr>
      </w:pPr>
    </w:p>
    <w:p w14:paraId="4E260F50" w14:textId="77777777" w:rsidR="00C2316C" w:rsidRDefault="00C2316C" w:rsidP="00C2316C">
      <w:pPr>
        <w:jc w:val="both"/>
        <w:rPr>
          <w:b/>
          <w:color w:val="212121"/>
          <w:shd w:val="clear" w:color="auto" w:fill="FFFFFF"/>
        </w:rPr>
      </w:pPr>
      <w:r>
        <w:rPr>
          <w:b/>
          <w:color w:val="212121"/>
          <w:shd w:val="clear" w:color="auto" w:fill="FFFFFF"/>
        </w:rPr>
        <w:t>AUTORES:</w:t>
      </w:r>
    </w:p>
    <w:p w14:paraId="25264B1A" w14:textId="77777777" w:rsidR="00C2316C" w:rsidRDefault="00C2316C" w:rsidP="00C2316C">
      <w:pPr>
        <w:jc w:val="both"/>
        <w:rPr>
          <w:bCs/>
          <w:color w:val="212121"/>
          <w:shd w:val="clear" w:color="auto" w:fill="FFFFFF"/>
        </w:rPr>
      </w:pPr>
    </w:p>
    <w:p w14:paraId="491BF285" w14:textId="77777777" w:rsidR="00C2316C" w:rsidRPr="0075218C" w:rsidRDefault="00C2316C" w:rsidP="00C2316C">
      <w:pPr>
        <w:jc w:val="both"/>
        <w:rPr>
          <w:bCs/>
          <w:color w:val="212121"/>
          <w:shd w:val="clear" w:color="auto" w:fill="FFFFFF"/>
        </w:rPr>
      </w:pPr>
      <w:r w:rsidRPr="0075218C">
        <w:rPr>
          <w:bCs/>
          <w:color w:val="212121"/>
          <w:shd w:val="clear" w:color="auto" w:fill="FFFFFF"/>
        </w:rPr>
        <w:t>Aracéli Cristina de S. Ferreira</w:t>
      </w:r>
    </w:p>
    <w:p w14:paraId="5033BC7F" w14:textId="77777777" w:rsidR="00C2316C" w:rsidRPr="0075218C" w:rsidRDefault="00C2316C" w:rsidP="00C2316C">
      <w:pPr>
        <w:jc w:val="both"/>
        <w:rPr>
          <w:bCs/>
          <w:color w:val="212121"/>
          <w:shd w:val="clear" w:color="auto" w:fill="FFFFFF"/>
        </w:rPr>
      </w:pPr>
      <w:r w:rsidRPr="0075218C">
        <w:rPr>
          <w:bCs/>
          <w:color w:val="212121"/>
          <w:shd w:val="clear" w:color="auto" w:fill="FFFFFF"/>
        </w:rPr>
        <w:t>Doutora em Ciências Contábeis (FEA/USP)</w:t>
      </w:r>
    </w:p>
    <w:p w14:paraId="6BD3285B" w14:textId="77777777" w:rsidR="00C2316C" w:rsidRPr="0075218C" w:rsidRDefault="00C2316C" w:rsidP="00C2316C">
      <w:pPr>
        <w:jc w:val="both"/>
      </w:pPr>
      <w:r w:rsidRPr="0075218C">
        <w:t xml:space="preserve">Professora do PPGCC - UFRJ </w:t>
      </w:r>
    </w:p>
    <w:p w14:paraId="1EC00B32" w14:textId="17F2A67E" w:rsidR="00C2316C" w:rsidRPr="0075218C" w:rsidRDefault="00C2316C" w:rsidP="00C2316C">
      <w:pPr>
        <w:jc w:val="both"/>
      </w:pPr>
      <w:r w:rsidRPr="0075218C">
        <w:t xml:space="preserve">Endereço: Av. Pasteur, 250 - sala </w:t>
      </w:r>
      <w:r w:rsidR="0017437C" w:rsidRPr="0075218C">
        <w:t>247</w:t>
      </w:r>
      <w:r w:rsidRPr="0075218C">
        <w:t xml:space="preserve"> - Urca - Rio de Janeiro/RJ - CEP: 22.290-240 </w:t>
      </w:r>
    </w:p>
    <w:p w14:paraId="487A3270" w14:textId="77777777" w:rsidR="00C2316C" w:rsidRPr="0075218C" w:rsidRDefault="00C2316C" w:rsidP="00C2316C">
      <w:pPr>
        <w:jc w:val="both"/>
      </w:pPr>
      <w:r w:rsidRPr="0075218C">
        <w:t xml:space="preserve">Telefone: (21) 3938-5262 </w:t>
      </w:r>
    </w:p>
    <w:p w14:paraId="12EDD226" w14:textId="305EF625" w:rsidR="00C2316C" w:rsidRPr="0075218C" w:rsidRDefault="00C2316C" w:rsidP="00C2316C">
      <w:pPr>
        <w:jc w:val="both"/>
      </w:pPr>
      <w:r w:rsidRPr="0075218C">
        <w:t xml:space="preserve">E-mail: </w:t>
      </w:r>
      <w:hyperlink r:id="rId8" w:history="1">
        <w:r w:rsidR="0075218C" w:rsidRPr="0075218C">
          <w:rPr>
            <w:rStyle w:val="Hyperlink"/>
          </w:rPr>
          <w:t>araceli@facc.ufrj.br</w:t>
        </w:r>
      </w:hyperlink>
    </w:p>
    <w:p w14:paraId="48A3BF04" w14:textId="77777777" w:rsidR="00C2316C" w:rsidRPr="0075218C" w:rsidRDefault="00C2316C" w:rsidP="00C2316C">
      <w:pPr>
        <w:jc w:val="both"/>
        <w:rPr>
          <w:bCs/>
          <w:color w:val="212121"/>
          <w:shd w:val="clear" w:color="auto" w:fill="FFFFFF"/>
        </w:rPr>
      </w:pPr>
    </w:p>
    <w:p w14:paraId="4CE3D3AB" w14:textId="77777777" w:rsidR="00C2316C" w:rsidRPr="0075218C" w:rsidRDefault="00C2316C" w:rsidP="00C2316C">
      <w:pPr>
        <w:jc w:val="both"/>
        <w:rPr>
          <w:bCs/>
          <w:color w:val="212121"/>
          <w:shd w:val="clear" w:color="auto" w:fill="FFFFFF"/>
        </w:rPr>
      </w:pPr>
      <w:r w:rsidRPr="0075218C">
        <w:rPr>
          <w:bCs/>
          <w:color w:val="212121"/>
          <w:shd w:val="clear" w:color="auto" w:fill="FFFFFF"/>
        </w:rPr>
        <w:t>André Luiz Bufoni</w:t>
      </w:r>
    </w:p>
    <w:p w14:paraId="5B3C3171" w14:textId="6E4AD43E" w:rsidR="00C2316C" w:rsidRPr="0075218C" w:rsidRDefault="00C2316C" w:rsidP="00C2316C">
      <w:pPr>
        <w:jc w:val="both"/>
        <w:rPr>
          <w:bCs/>
          <w:color w:val="212121"/>
          <w:shd w:val="clear" w:color="auto" w:fill="FFFFFF"/>
        </w:rPr>
      </w:pPr>
      <w:r w:rsidRPr="0075218C">
        <w:rPr>
          <w:bCs/>
          <w:color w:val="212121"/>
          <w:shd w:val="clear" w:color="auto" w:fill="FFFFFF"/>
        </w:rPr>
        <w:t xml:space="preserve">Doutor em </w:t>
      </w:r>
      <w:r w:rsidR="0017437C" w:rsidRPr="0075218C">
        <w:rPr>
          <w:bCs/>
          <w:color w:val="212121"/>
          <w:shd w:val="clear" w:color="auto" w:fill="FFFFFF"/>
        </w:rPr>
        <w:t>Planejamento Ambiental (COPPE/UFRJ)</w:t>
      </w:r>
    </w:p>
    <w:p w14:paraId="2F41B297" w14:textId="77777777" w:rsidR="00C2316C" w:rsidRPr="0075218C" w:rsidRDefault="00C2316C" w:rsidP="00C2316C">
      <w:pPr>
        <w:jc w:val="both"/>
      </w:pPr>
      <w:r w:rsidRPr="0075218C">
        <w:t xml:space="preserve">Professora do PPGCC - UFRJ </w:t>
      </w:r>
    </w:p>
    <w:p w14:paraId="066D0BF9" w14:textId="0F32552A" w:rsidR="00C2316C" w:rsidRPr="0075218C" w:rsidRDefault="00C2316C" w:rsidP="00C2316C">
      <w:pPr>
        <w:jc w:val="both"/>
      </w:pPr>
      <w:r w:rsidRPr="0075218C">
        <w:t xml:space="preserve">Endereço: Av. Pasteur, 250 - sala </w:t>
      </w:r>
      <w:r w:rsidR="0017437C" w:rsidRPr="0075218C">
        <w:t>247</w:t>
      </w:r>
      <w:r w:rsidRPr="0075218C">
        <w:t xml:space="preserve"> - Urca - Rio de Janeiro/RJ - CEP: 22.290-240 </w:t>
      </w:r>
    </w:p>
    <w:p w14:paraId="2070FD04" w14:textId="77777777" w:rsidR="00C2316C" w:rsidRPr="0075218C" w:rsidRDefault="00C2316C" w:rsidP="00C2316C">
      <w:pPr>
        <w:jc w:val="both"/>
      </w:pPr>
      <w:r w:rsidRPr="0075218C">
        <w:t xml:space="preserve">Telefone: (21) 3938-5262 </w:t>
      </w:r>
    </w:p>
    <w:p w14:paraId="29A746B7" w14:textId="77777777" w:rsidR="00C2316C" w:rsidRPr="0075218C" w:rsidRDefault="00C2316C" w:rsidP="00C2316C">
      <w:pPr>
        <w:jc w:val="both"/>
      </w:pPr>
      <w:r w:rsidRPr="0075218C">
        <w:t xml:space="preserve">E-mail: </w:t>
      </w:r>
      <w:hyperlink r:id="rId9" w:history="1">
        <w:r w:rsidRPr="0075218C">
          <w:rPr>
            <w:rStyle w:val="Hyperlink"/>
          </w:rPr>
          <w:t>bufoni@facc.ufrj.br</w:t>
        </w:r>
      </w:hyperlink>
    </w:p>
    <w:p w14:paraId="1150A02B" w14:textId="77777777" w:rsidR="00C2316C" w:rsidRPr="0075218C" w:rsidRDefault="00C2316C" w:rsidP="00C2316C">
      <w:pPr>
        <w:jc w:val="both"/>
      </w:pPr>
    </w:p>
    <w:p w14:paraId="5D1D4240" w14:textId="77777777" w:rsidR="00C2316C" w:rsidRPr="0075218C" w:rsidRDefault="00C2316C" w:rsidP="00C2316C">
      <w:pPr>
        <w:jc w:val="both"/>
      </w:pPr>
      <w:r w:rsidRPr="0075218C">
        <w:t>Juliana Molina Queiroz</w:t>
      </w:r>
    </w:p>
    <w:p w14:paraId="468366AB" w14:textId="77777777" w:rsidR="00C2316C" w:rsidRPr="0075218C" w:rsidRDefault="00C2316C" w:rsidP="00C2316C">
      <w:pPr>
        <w:jc w:val="both"/>
      </w:pPr>
      <w:r w:rsidRPr="0075218C">
        <w:t>Doutora em Ciências Contábeis (PPGCC/UFRJ)</w:t>
      </w:r>
    </w:p>
    <w:p w14:paraId="3A068AA9" w14:textId="073B4732" w:rsidR="00C2316C" w:rsidRPr="0075218C" w:rsidRDefault="00C2316C" w:rsidP="00C2316C">
      <w:pPr>
        <w:jc w:val="both"/>
      </w:pPr>
      <w:r w:rsidRPr="0075218C">
        <w:t xml:space="preserve">Endereço: Av. Pasteur, 250 - sala </w:t>
      </w:r>
      <w:r w:rsidR="0017437C" w:rsidRPr="0075218C">
        <w:t>247</w:t>
      </w:r>
      <w:r w:rsidRPr="0075218C">
        <w:t xml:space="preserve"> - Urca - Rio de Janeiro/RJ - CEP: 22.290-240 </w:t>
      </w:r>
    </w:p>
    <w:p w14:paraId="28023563" w14:textId="77777777" w:rsidR="00C2316C" w:rsidRPr="0075218C" w:rsidRDefault="00C2316C" w:rsidP="00C2316C">
      <w:pPr>
        <w:jc w:val="both"/>
      </w:pPr>
      <w:r w:rsidRPr="0075218C">
        <w:t xml:space="preserve">Telefone: (21) 3938-5262 </w:t>
      </w:r>
    </w:p>
    <w:p w14:paraId="77C6CF15" w14:textId="77777777" w:rsidR="00C2316C" w:rsidRPr="0075218C" w:rsidRDefault="00C2316C" w:rsidP="00C2316C">
      <w:pPr>
        <w:jc w:val="both"/>
      </w:pPr>
      <w:r w:rsidRPr="0075218C">
        <w:t xml:space="preserve">E-mail: </w:t>
      </w:r>
      <w:hyperlink r:id="rId10" w:history="1">
        <w:r w:rsidRPr="0075218C">
          <w:rPr>
            <w:rStyle w:val="Hyperlink"/>
          </w:rPr>
          <w:t>julianamolinaq@gmail.com</w:t>
        </w:r>
      </w:hyperlink>
    </w:p>
    <w:p w14:paraId="21035AB5" w14:textId="77777777" w:rsidR="00C2316C" w:rsidRPr="0075218C" w:rsidRDefault="00C2316C" w:rsidP="00C2316C">
      <w:pPr>
        <w:jc w:val="both"/>
      </w:pPr>
    </w:p>
    <w:p w14:paraId="6ED5E460" w14:textId="77777777" w:rsidR="00C2316C" w:rsidRDefault="00C2316C">
      <w:pPr>
        <w:spacing w:after="160" w:line="259" w:lineRule="auto"/>
        <w:rPr>
          <w:b/>
          <w:color w:val="212121"/>
          <w:shd w:val="clear" w:color="auto" w:fill="FFFFFF"/>
        </w:rPr>
      </w:pPr>
      <w:r>
        <w:rPr>
          <w:b/>
          <w:color w:val="212121"/>
          <w:shd w:val="clear" w:color="auto" w:fill="FFFFFF"/>
        </w:rPr>
        <w:br w:type="page"/>
      </w:r>
    </w:p>
    <w:p w14:paraId="23A1F71A" w14:textId="18BB91D2" w:rsidR="009A552F" w:rsidRPr="00E83BAD" w:rsidRDefault="009A552F" w:rsidP="00E83BAD">
      <w:pPr>
        <w:shd w:val="clear" w:color="auto" w:fill="FFFFFF"/>
        <w:ind w:firstLine="709"/>
        <w:jc w:val="both"/>
        <w:rPr>
          <w:b/>
          <w:color w:val="212121"/>
          <w:shd w:val="clear" w:color="auto" w:fill="FFFFFF"/>
        </w:rPr>
      </w:pPr>
      <w:r w:rsidRPr="00E83BAD">
        <w:rPr>
          <w:b/>
          <w:color w:val="212121"/>
          <w:shd w:val="clear" w:color="auto" w:fill="FFFFFF"/>
        </w:rPr>
        <w:lastRenderedPageBreak/>
        <w:t xml:space="preserve">A Qualidade </w:t>
      </w:r>
      <w:r w:rsidR="00F94B09">
        <w:rPr>
          <w:b/>
          <w:color w:val="212121"/>
          <w:shd w:val="clear" w:color="auto" w:fill="FFFFFF"/>
        </w:rPr>
        <w:t>das</w:t>
      </w:r>
      <w:r w:rsidR="00F94B09" w:rsidRPr="00E83BAD">
        <w:rPr>
          <w:b/>
          <w:color w:val="212121"/>
          <w:shd w:val="clear" w:color="auto" w:fill="FFFFFF"/>
        </w:rPr>
        <w:t xml:space="preserve"> </w:t>
      </w:r>
      <w:r w:rsidR="00F94B09">
        <w:rPr>
          <w:b/>
          <w:color w:val="212121"/>
          <w:shd w:val="clear" w:color="auto" w:fill="FFFFFF"/>
        </w:rPr>
        <w:t xml:space="preserve">Informações </w:t>
      </w:r>
      <w:r w:rsidR="00F94B09" w:rsidRPr="00E83BAD">
        <w:rPr>
          <w:b/>
          <w:color w:val="212121"/>
          <w:shd w:val="clear" w:color="auto" w:fill="FFFFFF"/>
        </w:rPr>
        <w:t>Financeir</w:t>
      </w:r>
      <w:r w:rsidR="00F94B09">
        <w:rPr>
          <w:b/>
          <w:color w:val="212121"/>
          <w:shd w:val="clear" w:color="auto" w:fill="FFFFFF"/>
        </w:rPr>
        <w:t>a</w:t>
      </w:r>
      <w:r w:rsidR="00F94B09" w:rsidRPr="00E83BAD">
        <w:rPr>
          <w:b/>
          <w:color w:val="212121"/>
          <w:shd w:val="clear" w:color="auto" w:fill="FFFFFF"/>
        </w:rPr>
        <w:t xml:space="preserve">s </w:t>
      </w:r>
      <w:r w:rsidR="00C14518">
        <w:rPr>
          <w:b/>
          <w:color w:val="212121"/>
          <w:shd w:val="clear" w:color="auto" w:fill="FFFFFF"/>
        </w:rPr>
        <w:t xml:space="preserve">para análise </w:t>
      </w:r>
      <w:r w:rsidRPr="00E83BAD">
        <w:rPr>
          <w:b/>
          <w:color w:val="212121"/>
          <w:shd w:val="clear" w:color="auto" w:fill="FFFFFF"/>
        </w:rPr>
        <w:t xml:space="preserve">dos Projetos de </w:t>
      </w:r>
      <w:r w:rsidRPr="00E83BAD">
        <w:rPr>
          <w:b/>
          <w:i/>
          <w:color w:val="212121"/>
          <w:shd w:val="clear" w:color="auto" w:fill="FFFFFF"/>
        </w:rPr>
        <w:t xml:space="preserve">Animal </w:t>
      </w:r>
      <w:proofErr w:type="spellStart"/>
      <w:r w:rsidRPr="00E83BAD">
        <w:rPr>
          <w:b/>
          <w:i/>
          <w:color w:val="212121"/>
          <w:shd w:val="clear" w:color="auto" w:fill="FFFFFF"/>
        </w:rPr>
        <w:t>Waste</w:t>
      </w:r>
      <w:proofErr w:type="spellEnd"/>
      <w:r w:rsidRPr="00E83BAD">
        <w:rPr>
          <w:b/>
          <w:i/>
          <w:color w:val="212121"/>
          <w:shd w:val="clear" w:color="auto" w:fill="FFFFFF"/>
        </w:rPr>
        <w:t xml:space="preserve"> Management System</w:t>
      </w:r>
      <w:r w:rsidRPr="00E83BAD">
        <w:rPr>
          <w:b/>
          <w:color w:val="212121"/>
          <w:shd w:val="clear" w:color="auto" w:fill="FFFFFF"/>
        </w:rPr>
        <w:t xml:space="preserve"> (AWMS)</w:t>
      </w:r>
      <w:r w:rsidR="00F94B09">
        <w:rPr>
          <w:b/>
          <w:color w:val="212121"/>
          <w:shd w:val="clear" w:color="auto" w:fill="FFFFFF"/>
        </w:rPr>
        <w:t xml:space="preserve"> no âmbito do Protocolo de Quioto.</w:t>
      </w:r>
    </w:p>
    <w:p w14:paraId="17915E57" w14:textId="77777777" w:rsidR="009A552F" w:rsidRPr="00E83BAD" w:rsidRDefault="009A552F" w:rsidP="00E83BAD">
      <w:pPr>
        <w:ind w:firstLine="709"/>
        <w:jc w:val="both"/>
        <w:rPr>
          <w:b/>
          <w:i/>
          <w:color w:val="808080"/>
        </w:rPr>
      </w:pPr>
    </w:p>
    <w:p w14:paraId="3EDCE46E" w14:textId="77777777" w:rsidR="00A4437F" w:rsidRPr="00E83BAD" w:rsidRDefault="00A4437F" w:rsidP="00E83BAD">
      <w:pPr>
        <w:ind w:firstLine="709"/>
        <w:jc w:val="both"/>
        <w:rPr>
          <w:b/>
          <w:bCs/>
        </w:rPr>
      </w:pPr>
      <w:r w:rsidRPr="00E83BAD">
        <w:rPr>
          <w:b/>
          <w:bCs/>
        </w:rPr>
        <w:t>RESUMO</w:t>
      </w:r>
    </w:p>
    <w:p w14:paraId="3B342BF9" w14:textId="1B745AEE" w:rsidR="009A552F" w:rsidRPr="00E83BAD" w:rsidRDefault="009A552F" w:rsidP="00E83BAD">
      <w:pPr>
        <w:ind w:firstLine="709"/>
        <w:jc w:val="both"/>
      </w:pPr>
      <w:r w:rsidRPr="00E83BAD">
        <w:t xml:space="preserve">Trabalhos recentes revelam que uma barreira severa aos projetos de Mecanismo de Desenvolvimento Limpo (MDL) é </w:t>
      </w:r>
      <w:proofErr w:type="gramStart"/>
      <w:r w:rsidRPr="00E83BAD">
        <w:t>a</w:t>
      </w:r>
      <w:proofErr w:type="gramEnd"/>
      <w:r w:rsidRPr="00E83BAD">
        <w:t xml:space="preserve"> atratividade financeira. Mostraram ainda que não há um modelo de relatório padrão do órgão oficial para apresentar as informações financeiras dos projetos. As diretrizes para os MDL do Comitê para Mudanças Climáticas das Nações Unidas (UNFCCC) recomendam o uso de "regulamentos contábeis locais, quando disponíveis, ou as melhores práticas internacionais", mas análises indicam claramente administração de resultados e viés intencional nas informações. O objetivo deste artigo é investigar a qualidade da informação financeira divulgada em todos os 37 projetos de larga escala de gestão de resíduos animais, documentos obrigatórios para registro como MDL nas Nações Unidas. A qualidade foi definida diante de duas análises: a primeira, análise das premissas utilizadas, em que foi verificado se os projetos consideraram todos os fatores na formação dos indicadores financeiros conforme indicado por Assaf Neto (1992); a segunda, a análise da divulgação, em que se verificou, se os projetos atenderam as características qualitativas conforme os pronunciamentos do FASB na divulgação dos relatórios financeiros. Todos os projetos foram desenvolvidos pela mesma empresa (A</w:t>
      </w:r>
      <w:r w:rsidR="00182162">
        <w:t>GCERT</w:t>
      </w:r>
      <w:r w:rsidRPr="00E83BAD">
        <w:t xml:space="preserve">), que padronizou o relatório para simplificar e acelerar sua elaboração, e maximizar sua utilidade. Com este fim, </w:t>
      </w:r>
      <w:proofErr w:type="gramStart"/>
      <w:r w:rsidRPr="00E83BAD">
        <w:t>a</w:t>
      </w:r>
      <w:proofErr w:type="gramEnd"/>
      <w:r w:rsidRPr="00E83BAD">
        <w:t xml:space="preserve"> empresa modularizou as análises financeiras, replicando tipos, tamanho, indicadores e até valores. Os resultados mostraram que foram desprezadas as particularidades de cada local, o contexto social e econômico e até mesmo as variáveis do meio ambiente em vários períodos distintos de tempo, já que durante toda a vigência dos projetos, as informações permaneceram as mesmas. Portanto, os projetos produzidos pela </w:t>
      </w:r>
      <w:proofErr w:type="spellStart"/>
      <w:r w:rsidRPr="00E83BAD">
        <w:t>AgCert</w:t>
      </w:r>
      <w:proofErr w:type="spellEnd"/>
      <w:r w:rsidRPr="00E83BAD">
        <w:t xml:space="preserve"> não se mostraram adequados nem na primeira análise e nem na segunda.  Tendo sido procurados para obter maiores informações, soube-se que </w:t>
      </w:r>
      <w:proofErr w:type="gramStart"/>
      <w:r w:rsidRPr="00E83BAD">
        <w:t>a</w:t>
      </w:r>
      <w:proofErr w:type="gramEnd"/>
      <w:r w:rsidRPr="00E83BAD">
        <w:t xml:space="preserve"> empresa </w:t>
      </w:r>
      <w:r w:rsidR="00182162" w:rsidRPr="00E83BAD">
        <w:t>se encontra</w:t>
      </w:r>
      <w:r w:rsidRPr="00E83BAD">
        <w:t xml:space="preserve"> em liquidação </w:t>
      </w:r>
      <w:r w:rsidR="00182162" w:rsidRPr="00E83BAD">
        <w:t>extrajudicial</w:t>
      </w:r>
      <w:r w:rsidRPr="00E83BAD">
        <w:t>, deixando de cumprir com os 103 contratos de Projetos.</w:t>
      </w:r>
    </w:p>
    <w:p w14:paraId="5B87CB65" w14:textId="77777777" w:rsidR="009A552F" w:rsidRDefault="009A552F" w:rsidP="00E83BAD">
      <w:pPr>
        <w:ind w:firstLine="709"/>
        <w:jc w:val="both"/>
      </w:pPr>
      <w:r w:rsidRPr="00E83BAD">
        <w:rPr>
          <w:b/>
        </w:rPr>
        <w:t>Palavras chave:</w:t>
      </w:r>
      <w:r w:rsidRPr="00E83BAD">
        <w:t xml:space="preserve"> MDL; Resíduos; Créditos de Carbono; Protocolo de Quioto; Qualidade dos Relatórios Financeiros.</w:t>
      </w:r>
    </w:p>
    <w:p w14:paraId="0392B6AA" w14:textId="77777777" w:rsidR="005D7F46" w:rsidRDefault="005D7F46" w:rsidP="00E83BAD">
      <w:pPr>
        <w:ind w:firstLine="709"/>
        <w:jc w:val="both"/>
      </w:pPr>
    </w:p>
    <w:p w14:paraId="2E764A7C" w14:textId="77777777" w:rsidR="005D7F46" w:rsidRPr="002C7F46" w:rsidRDefault="005D7F46" w:rsidP="00E83BAD">
      <w:pPr>
        <w:ind w:firstLine="709"/>
        <w:jc w:val="both"/>
        <w:rPr>
          <w:b/>
          <w:bCs/>
        </w:rPr>
      </w:pPr>
      <w:r w:rsidRPr="002C7F46">
        <w:rPr>
          <w:b/>
          <w:bCs/>
        </w:rPr>
        <w:t>Abstract</w:t>
      </w:r>
    </w:p>
    <w:p w14:paraId="0F2EFA8C" w14:textId="001A7D7D" w:rsidR="00F94B09" w:rsidRPr="002C7F46" w:rsidRDefault="00F94B09" w:rsidP="00C14518">
      <w:pPr>
        <w:pStyle w:val="NormalWeb"/>
        <w:spacing w:before="0" w:beforeAutospacing="0" w:after="0" w:afterAutospacing="0"/>
        <w:ind w:firstLine="708"/>
        <w:jc w:val="both"/>
        <w:rPr>
          <w:color w:val="1C1E29"/>
          <w:lang w:val="en-US"/>
        </w:rPr>
      </w:pPr>
      <w:r w:rsidRPr="002C7F46">
        <w:rPr>
          <w:color w:val="1C1E29"/>
          <w:lang w:val="en-US"/>
        </w:rPr>
        <w:t>Recent work reveals that a severe barrier to Clean Development Mechanism (CDM) projects is financial attractiveness. They also showed that there is no standard report model from the official body to present the financial information of the projects. The United Nations Climate Change Committee (UNFCCC) CDM guidelines recommend the use of "local accounting regulations, where available, or best international practices." Still, analyzes indicate earnings management and intentional reporting bias. The purpose of this article is to investigate the quality of the financial information disclosed in all 37 large-scale animal waste management projects, which are mandatory documents for registration as a CDM at the United Nations. Quality defined in the light of two analyzes: the first, verifying whether the projects not considered all factors for financial indicators as defined by Assaf Neto (1992). The second, analysis of the disclosure, verifying if projects met qualitative characteristics according to the pronouncements of the FASB in the disclosure of the financial reports. All projects were developed by the same company (A</w:t>
      </w:r>
      <w:r w:rsidR="00182162">
        <w:rPr>
          <w:color w:val="1C1E29"/>
          <w:lang w:val="en-US"/>
        </w:rPr>
        <w:t>G</w:t>
      </w:r>
      <w:r w:rsidRPr="002C7F46">
        <w:rPr>
          <w:color w:val="1C1E29"/>
          <w:lang w:val="en-US"/>
        </w:rPr>
        <w:t>C</w:t>
      </w:r>
      <w:r w:rsidR="00182162">
        <w:rPr>
          <w:color w:val="1C1E29"/>
          <w:lang w:val="en-US"/>
        </w:rPr>
        <w:t>ERT</w:t>
      </w:r>
      <w:r w:rsidRPr="002C7F46">
        <w:rPr>
          <w:color w:val="1C1E29"/>
          <w:lang w:val="en-US"/>
        </w:rPr>
        <w:t xml:space="preserve">), which standardized the report to simplify and speed up its preparation and maximize its usefulness. To this end, the company modularized financial analysis, replicating types, size, indicators, and even values. The results showed the particularities of each location, social, economic context. Also, the variables of the environment were neglected several different periods, since the duration of the projects, the information remained the same. Therefore, the projects produced by </w:t>
      </w:r>
      <w:proofErr w:type="spellStart"/>
      <w:r w:rsidRPr="002C7F46">
        <w:rPr>
          <w:color w:val="1C1E29"/>
          <w:lang w:val="en-US"/>
        </w:rPr>
        <w:t>AgCert</w:t>
      </w:r>
      <w:proofErr w:type="spellEnd"/>
      <w:r w:rsidRPr="002C7F46">
        <w:rPr>
          <w:color w:val="1C1E29"/>
          <w:lang w:val="en-US"/>
        </w:rPr>
        <w:t xml:space="preserve"> were not adequate either in the first analysis or in the second. Having been sought for other information, it was realized that the company is in extra-judicial liquidation, failing to comply with the 103 Project contracts.</w:t>
      </w:r>
    </w:p>
    <w:p w14:paraId="184E8C07" w14:textId="630B995F" w:rsidR="00F94B09" w:rsidRPr="002C7F46" w:rsidRDefault="00AC4CD1" w:rsidP="00C14518">
      <w:pPr>
        <w:pStyle w:val="NormalWeb"/>
        <w:spacing w:before="0" w:beforeAutospacing="0" w:after="0" w:afterAutospacing="0"/>
        <w:jc w:val="both"/>
        <w:rPr>
          <w:color w:val="1C1E29"/>
          <w:lang w:val="en-US"/>
        </w:rPr>
      </w:pPr>
      <w:r w:rsidRPr="002C7F46">
        <w:rPr>
          <w:rStyle w:val="Strong"/>
          <w:rFonts w:eastAsia="Calibri"/>
          <w:color w:val="1C1E29"/>
          <w:lang w:val="en-US"/>
        </w:rPr>
        <w:t>Keywords</w:t>
      </w:r>
      <w:r w:rsidR="00F94B09" w:rsidRPr="002C7F46">
        <w:rPr>
          <w:color w:val="1C1E29"/>
          <w:lang w:val="en-US"/>
        </w:rPr>
        <w:t>: CMD; Waste; Carbon Credits; Kyoto Protocol; Quality of Financial Reports.</w:t>
      </w:r>
    </w:p>
    <w:p w14:paraId="5ABC71BE" w14:textId="77777777" w:rsidR="009A552F" w:rsidRPr="002C7F46" w:rsidRDefault="009A552F" w:rsidP="00C14518">
      <w:pPr>
        <w:ind w:firstLine="709"/>
        <w:jc w:val="both"/>
      </w:pPr>
    </w:p>
    <w:p w14:paraId="0A6474FF" w14:textId="77777777" w:rsidR="009A552F" w:rsidRPr="00E83BAD" w:rsidRDefault="009A552F" w:rsidP="00E83BAD">
      <w:pPr>
        <w:pStyle w:val="Heading2"/>
        <w:spacing w:before="0" w:line="240" w:lineRule="auto"/>
        <w:ind w:left="0" w:firstLine="709"/>
        <w:rPr>
          <w:szCs w:val="24"/>
        </w:rPr>
      </w:pPr>
      <w:r w:rsidRPr="00E83BAD">
        <w:rPr>
          <w:szCs w:val="24"/>
        </w:rPr>
        <w:lastRenderedPageBreak/>
        <w:t>I</w:t>
      </w:r>
      <w:r w:rsidR="00A4437F" w:rsidRPr="00E83BAD">
        <w:rPr>
          <w:szCs w:val="24"/>
        </w:rPr>
        <w:t>NTRODUÇÃO</w:t>
      </w:r>
    </w:p>
    <w:p w14:paraId="4AE90E7D" w14:textId="5EA00BA6"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3BAD">
        <w:rPr>
          <w:color w:val="212121"/>
          <w:lang w:val="pt-PT" w:eastAsia="pt-BR"/>
        </w:rPr>
        <w:t xml:space="preserve">O consumo de recursos materiais e energéticos está em alta tanto nos países industrializados quanto nos países em desenvolvimento </w:t>
      </w:r>
      <w:r w:rsidRPr="00E83BAD">
        <w:fldChar w:fldCharType="begin" w:fldLock="1"/>
      </w:r>
      <w:r w:rsidRPr="00E83BAD">
        <w:instrText>ADDIN CSL_CITATION { "citationItems" : [ { "id" : "ITEM-1", "itemData" : { "DOI" : "10.1115/IMECE2005-81347", "ISBN" : "0-7918-4218-5", "abstract" : "Material and energy resource consumption is on the rise in both the industrialized and developing world (e.g., countries like India and China). In order to sustain this growth and provide resources for future generations, there is a need to design products that are easy to recover and recondition, thus enabling multiple use cycles. Processes are needed that can achieve this multi-use while producing zero (or very near zero) waste. There exist a number of barriers and challenges to achieving this vision of multi-use with zero waste; one such challenge is the development of a product recovery infrastructure that will minimize short-term impacts due to existing products and will be robust enough to recover products of the future. This paper identifies the barriers to developing such a recovery and reuse infrastructure. The aim is to achieve product multi-use and zero waste. Copyright \u00a9 2005 by ASME.", "author" : [ { "dropping-particle" : "", "family" : "Kumar", "given" : "Vishesh", "non-dropping-particle" : "", "parse-names" : false, "suffix" : "" }, { "dropping-particle" : "", "family" : "Bee", "given" : "Danny J.", "non-dropping-particle" : "", "parse-names" : false, "suffix" : "" }, { "dropping-particle" : "", "family" : "Shirodkar", "given" : "Prasad S.", "non-dropping-particle" : "", "parse-names" : false, "suffix" : "" }, { "dropping-particle" : "", "family" : "Tumkor", "given" : "Serdar", "non-dropping-particle" : "", "parse-names" : false, "suffix" : "" }, { "dropping-particle" : "", "family" : "Bettig", "given" : "Bernhard P.", "non-dropping-particle" : "", "parse-names" : false, "suffix" : "" }, { "dropping-particle" : "", "family" : "Sutherland", "given" : "John W.", "non-dropping-particle" : "", "parse-names" : false, "suffix" : "" } ], "container-title" : "Energy Conversion and Resources", "id" : "ITEM-1", "issued" : { "date-parts" : [ [ "2005" ] ] }, "page" : "433-442", "title" : "Towards Sustainable \u201cProduct and Material Flow\u201d Cycles: Identifying Barriers to Achieving Product Multi-Use and Zero Waste", "type" : "article-journal", "volume" : "2005" }, "uris" : [ "http://www.mendeley.com/documents/?uuid=52864640-e894-4d53-a6fd-899e615b24c8", "http://www.mendeley.com/documents/?uuid=ab036e30-1735-47a7-b665-e22414592d21" ] } ], "mendeley" : { "formattedCitation" : "(Kumar et al., 2005)", "plainTextFormattedCitation" : "(Kumar et al., 2005)", "previouslyFormattedCitation" : "(KUMAR et al., 2005)" }, "properties" : {  }, "schema" : "https://github.com/citation-style-language/schema/raw/master/csl-citation.json" }</w:instrText>
      </w:r>
      <w:r w:rsidRPr="00E83BAD">
        <w:fldChar w:fldCharType="separate"/>
      </w:r>
      <w:r w:rsidRPr="00E83BAD">
        <w:rPr>
          <w:noProof/>
        </w:rPr>
        <w:t>(K</w:t>
      </w:r>
      <w:r w:rsidR="006A489C">
        <w:rPr>
          <w:noProof/>
        </w:rPr>
        <w:t>UMAR</w:t>
      </w:r>
      <w:r w:rsidRPr="00E83BAD">
        <w:rPr>
          <w:noProof/>
        </w:rPr>
        <w:t xml:space="preserve"> et al., 2005)</w:t>
      </w:r>
      <w:r w:rsidRPr="00E83BAD">
        <w:fldChar w:fldCharType="end"/>
      </w:r>
      <w:r w:rsidRPr="00E83BAD">
        <w:t xml:space="preserve">. Esse consumo gera resíduos. A gestão desses resíduos é uma questão global relevante e importante devido aos padrões de consumo não sustentáveis e aos limites de reciclagem e modestas taxas de prevenção e </w:t>
      </w:r>
      <w:proofErr w:type="spellStart"/>
      <w:r w:rsidRPr="00E83BAD">
        <w:t>reutilização</w:t>
      </w:r>
      <w:proofErr w:type="spellEnd"/>
      <w:r w:rsidRPr="00E83BAD">
        <w:t xml:space="preserve"> </w:t>
      </w:r>
      <w:r w:rsidRPr="00E83BAD">
        <w:fldChar w:fldCharType="begin" w:fldLock="1"/>
      </w:r>
      <w:r w:rsidRPr="00E83BAD">
        <w:instrText>ADDIN CSL_CITATION { "citationItems" : [ { "id" : "ITEM-1", "itemData" : { "DOI" : "10.1177/0734242X14541986", "ISBN" : "0734-242X", "ISSN" : "0734-242X", "PMID" : "25027765", "abstract" : "Current European waste policy does not mainly aim to treat waste streams but rather place in the foreground of interest the complete supply chain of a product. Waste prevention and re-use do have the highest priority and they take effect before the end-of-life phase of a product or a material is reached. Recycling only takes the third place whereas recovery and disposal represent the least favourable options. Recycling can help to decrease the consumption of primary resources but it does not tackle the causes but only the symptoms. In principle, recycling processes require energy and will generate side streams (i.e. waste). Furthermore, there are insuperable barriers and the practice is far from 100% recycling. The philosophy of waste prevention and re-use is completely different since they really tackle the causes. It is self-evident that a decrease of waste will also decrease the consumption of resources, energy and money to process the waste. However, even if European legislation is proceeding in the right direction, a clear decrease in waste generation did not occur up to now. Unfortunately, waste generation represents a positive factor of economic growth. Basically, waste generation is a huge business and numerous stakeholders are not interested to reduce waste. More sophisticated incentives are required to decouple economic growth from waste generation.", "author" : [ { "dropping-particle" : "", "family" : "Bartl", "given" : "Andreas", "non-dropping-particle" : "", "parse-names" : false, "suffix" : "" } ], "container-title" : "Waste Management &amp; Research", "id" : "ITEM-1", "issue" : "9_suppl", "issued" : { "date-parts" : [ [ "2014" ] ] }, "page" : "3-18", "title" : "Moving from recycling to waste prevention: A review of barriers and enables", "type" : "article-journal", "volume" : "32" }, "uris" : [ "http://www.mendeley.com/documents/?uuid=7cff2ba2-ba3b-4cca-9079-8bad43e1bebc" ] }, { "id" : "ITEM-2", "itemData" : { "DOI" : "10.1016/j.wasman.2011.09.013", "ISSN" : "0956053X", "author" : [ { "dropping-particle" : "", "family" : "Bartl", "given" : "Andreas", "non-dropping-particle" : "", "parse-names" : false, "suffix" : "" } ], "container-title" : "Waste Management", "id" : "ITEM-2", "issue" : "12", "issued" : { "date-parts" : [ [ "2011", "12" ] ] }, "page" : "2369-2370", "title" : "Barriers towards achieving a zero waste society", "type" : "article-journal", "volume" : "31" }, "uris" : [ "http://www.mendeley.com/documents/?uuid=1ae1ab9e-af97-4251-bb85-6550af0b741f", "http://www.mendeley.com/documents/?uuid=47a22c48-8acc-4fd3-856f-ae29b5d7b517" ] } ], "mendeley" : { "formattedCitation" : "(Bartl, 2011, 2014)", "plainTextFormattedCitation" : "(Bartl, 2011, 2014)", "previouslyFormattedCitation" : "(BARTL, 2011, 2014)" }, "properties" : {  }, "schema" : "https://github.com/citation-style-language/schema/raw/master/csl-citation.json" }</w:instrText>
      </w:r>
      <w:r w:rsidRPr="00E83BAD">
        <w:fldChar w:fldCharType="separate"/>
      </w:r>
      <w:r w:rsidRPr="00E83BAD">
        <w:rPr>
          <w:noProof/>
        </w:rPr>
        <w:t>(B</w:t>
      </w:r>
      <w:r w:rsidR="006A489C">
        <w:rPr>
          <w:noProof/>
        </w:rPr>
        <w:t>ARTL</w:t>
      </w:r>
      <w:r w:rsidRPr="00E83BAD">
        <w:rPr>
          <w:noProof/>
        </w:rPr>
        <w:t>, 201</w:t>
      </w:r>
      <w:r w:rsidR="006A489C">
        <w:rPr>
          <w:noProof/>
        </w:rPr>
        <w:t>4</w:t>
      </w:r>
      <w:r w:rsidRPr="00E83BAD">
        <w:rPr>
          <w:noProof/>
        </w:rPr>
        <w:t>)</w:t>
      </w:r>
      <w:r w:rsidRPr="00E83BAD">
        <w:fldChar w:fldCharType="end"/>
      </w:r>
      <w:r w:rsidRPr="00E83BAD">
        <w:t>.</w:t>
      </w:r>
    </w:p>
    <w:p w14:paraId="69DD9F8F" w14:textId="3D1E901A"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E83BAD">
        <w:rPr>
          <w:color w:val="212121"/>
          <w:lang w:val="pt-PT" w:eastAsia="pt-BR"/>
        </w:rPr>
        <w:t xml:space="preserve">Há geração de mais lixo e não se sabe o que fazer com isso, argumenta Rahman (2000). A eliminação ineficaz ou irresponsável desses resíduos polui o meio ambiente e representa um risco para a saúde pública resultando em falta de espaço em aterros existentes. Os cidadãos estão descobrindo que não há uma maneira fácil de se livrar do lixo, ainda que tenham assumido que poderia ser enterrado ou queimado e, assim, esquecido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"Rahman", "given" : "Fahzy Abdul", "non-dropping-particle" : "", "parse-names" : false, "suffix" : "" } ], "container-title" : "NM State University", "id" : "ITEM-1", "issued" : { "date-parts" : [ [ "2000" ] ] }, "page" : "1-4", "title" : "Reduce , Reuse , Recycle : Alternatives for Waste Management", "type" : "article-journal" }, "uris" : [ "http://www.mendeley.com/documents/?uuid=337c17e8-96a5-4ff8-9764-277c8a534804", "http://www.mendeley.com/documents/?uuid=fbfcd5fc-3fac-495e-85c9-a2cdce08c8bc" ] } ], "mendeley" : { "formattedCitation" : "(Rahman, 2000)", "plainTextFormattedCitation" : "(Rahman, 2000)", "previouslyFormattedCitation" : "(RAHMAN, 2000)"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(R</w:t>
      </w:r>
      <w:r w:rsidR="006A489C">
        <w:rPr>
          <w:noProof/>
          <w:color w:val="212121"/>
          <w:lang w:val="pt-PT" w:eastAsia="pt-BR"/>
        </w:rPr>
        <w:t>AHMAN</w:t>
      </w:r>
      <w:r w:rsidRPr="00E83BAD">
        <w:rPr>
          <w:noProof/>
          <w:color w:val="212121"/>
          <w:lang w:val="pt-PT" w:eastAsia="pt-BR"/>
        </w:rPr>
        <w:t>, 2000)</w:t>
      </w:r>
      <w:r w:rsidRPr="00E83BAD">
        <w:rPr>
          <w:color w:val="212121"/>
          <w:lang w:val="pt-PT" w:eastAsia="pt-BR"/>
        </w:rPr>
        <w:fldChar w:fldCharType="end"/>
      </w:r>
      <w:r w:rsidRPr="00E83BAD">
        <w:rPr>
          <w:color w:val="212121"/>
          <w:lang w:val="pt-PT" w:eastAsia="pt-BR"/>
        </w:rPr>
        <w:t>.</w:t>
      </w:r>
    </w:p>
    <w:p w14:paraId="763F1C18"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t xml:space="preserve">Para </w:t>
      </w:r>
      <w:proofErr w:type="spellStart"/>
      <w:r w:rsidRPr="00E83BAD">
        <w:t>Kumar</w:t>
      </w:r>
      <w:proofErr w:type="spellEnd"/>
      <w:r w:rsidRPr="00E83BAD">
        <w:t xml:space="preserve"> et al. </w:t>
      </w:r>
      <w:r w:rsidRPr="00E83BAD">
        <w:fldChar w:fldCharType="begin" w:fldLock="1"/>
      </w:r>
      <w:r w:rsidRPr="00E83BAD">
        <w:instrText>ADDIN CSL_CITATION { "citationItems" : [ { "id" : "ITEM-1", "itemData" : { "DOI" : "10.1115/IMECE2005-81347", "ISBN" : "0-7918-4218-5", "abstract" : "Material and energy resource consumption is on the rise in both the industrialized and developing world (e.g., countries like India and China). In order to sustain this growth and provide resources for future generations, there is a need to design products that are easy to recover and recondition, thus enabling multiple use cycles. Processes are needed that can achieve this multi-use while producing zero (or very near zero) waste. There exist a number of barriers and challenges to achieving this vision of multi-use with zero waste; one such challenge is the development of a product recovery infrastructure that will minimize short-term impacts due to existing products and will be robust enough to recover products of the future. This paper identifies the barriers to developing such a recovery and reuse infrastructure. The aim is to achieve product multi-use and zero waste. Copyright \u00a9 2005 by ASME.", "author" : [ { "dropping-particle" : "", "family" : "Kumar", "given" : "Vishesh", "non-dropping-particle" : "", "parse-names" : false, "suffix" : "" }, { "dropping-particle" : "", "family" : "Bee", "given" : "Danny J.", "non-dropping-particle" : "", "parse-names" : false, "suffix" : "" }, { "dropping-particle" : "", "family" : "Shirodkar", "given" : "Prasad S.", "non-dropping-particle" : "", "parse-names" : false, "suffix" : "" }, { "dropping-particle" : "", "family" : "Tumkor", "given" : "Serdar", "non-dropping-particle" : "", "parse-names" : false, "suffix" : "" }, { "dropping-particle" : "", "family" : "Bettig", "given" : "Bernhard P.", "non-dropping-particle" : "", "parse-names" : false, "suffix" : "" }, { "dropping-particle" : "", "family" : "Sutherland", "given" : "John W.", "non-dropping-particle" : "", "parse-names" : false, "suffix" : "" } ], "container-title" : "Energy Conversion and Resources", "id" : "ITEM-1", "issued" : { "date-parts" : [ [ "2005" ] ] }, "page" : "433-442", "title" : "Towards Sustainable \u201cProduct and Material Flow\u201d Cycles: Identifying Barriers to Achieving Product Multi-Use and Zero Waste", "type" : "article-journal", "volume" : "2005" }, "uris" : [ "http://www.mendeley.com/documents/?uuid=52864640-e894-4d53-a6fd-899e615b24c8" ] } ], "mendeley" : { "formattedCitation" : "(Kumar et al., 2005)", "plainTextFormattedCitation" : "(Kumar et al., 2005)", "previouslyFormattedCitation" : "(2005)" }, "properties" : {  }, "schema" : "https://github.com/citation-style-language/schema/raw/master/csl-citation.json" }</w:instrText>
      </w:r>
      <w:r w:rsidRPr="00E83BAD">
        <w:fldChar w:fldCharType="separate"/>
      </w:r>
      <w:r w:rsidRPr="00E83BAD">
        <w:rPr>
          <w:noProof/>
        </w:rPr>
        <w:t>(2005)</w:t>
      </w:r>
      <w:r w:rsidRPr="00E83BAD">
        <w:fldChar w:fldCharType="end"/>
      </w:r>
      <w:r w:rsidRPr="00E83BAD">
        <w:t xml:space="preserve"> uma das soluções para</w:t>
      </w:r>
      <w:r w:rsidRPr="00E83BAD">
        <w:rPr>
          <w:color w:val="212121"/>
          <w:lang w:val="pt-PT" w:eastAsia="pt-BR"/>
        </w:rPr>
        <w:t xml:space="preserve"> sustentar o crescimento e fornecer recursos para as gerações futuras é a criação de produtos que sejam fáceis de recuperar e recondicionar, permitindo ciclos de uso múltiplo. Dessa maneira, são necessárias técnicas que originem produtos “de uso múltiplo” e “resíduos zero” (ou muito próximos de zero). Porém, o autor indica que existem várias barreiras e desafios para alcançar essa visão de uso múltiplo com zero desperdício. </w:t>
      </w:r>
    </w:p>
    <w:p w14:paraId="6E25BB2E" w14:textId="02CE818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Uma das outras soluções que tem sido pesquisada e debatida na literatura é a implementação de mecanismos que resolvam os problemas da gestão dos resíduos conhecidos como soluções </w:t>
      </w:r>
      <w:proofErr w:type="spellStart"/>
      <w:r w:rsidRPr="00E83BAD">
        <w:rPr>
          <w:i/>
          <w:color w:val="212121"/>
          <w:lang w:val="pt-PT" w:eastAsia="pt-BR"/>
        </w:rPr>
        <w:t>end-of-pipe</w:t>
      </w:r>
      <w:proofErr w:type="spellEnd"/>
      <w:r w:rsidRPr="00E83BAD">
        <w:rPr>
          <w:color w:val="212121"/>
          <w:lang w:val="pt-PT" w:eastAsia="pt-BR"/>
        </w:rPr>
        <w:t xml:space="preserve"> </w:t>
      </w:r>
      <w:r w:rsidRPr="00E83BAD">
        <w:rPr>
          <w:color w:val="212121"/>
          <w:lang w:val="pt-PT" w:eastAsia="pt-BR"/>
        </w:rPr>
        <w:fldChar w:fldCharType="begin" w:fldLock="1"/>
      </w:r>
      <w:r w:rsidRPr="00E83BAD">
        <w:rPr>
          <w:color w:val="212121"/>
          <w:lang w:val="pt-PT" w:eastAsia="pt-BR"/>
        </w:rPr>
        <w:instrText>ADDIN CSL_CITATION { "citationItems" : [ { "id" : "ITEM-1", "itemData" : { "DOI" : "10.1177/0734242X15616055", "ISSN" : "1096-3669", "PMID" : "26574579", "author" : [ { "dropping-particle" : "", "family" : "Wilson", "given" : "David C", "non-dropping-particle" : "", "parse-names" : false, "suffix" : "" }, { "dropping-particle" : "", "family" : "Velis", "given" : "Costas A", "non-dropping-particle" : "", "parse-names" : false, "suffix" : "" } ], "container-title" : "Waste management &amp; research : the journal of the International Solid Wastes and Public Cleansing Association, ISWA", "id" : "ITEM-1", "issue" : "12", "issued" : { "date-parts" : [ [ "2015", "12" ] ] }, "page" : "1049-51", "title" : "Waste management - still a global challenge in the 21st century: An evidence-based call for action.", "type" : "article-journal", "volume" : "33" }, "uris" : [ "http://www.mendeley.com/documents/?uuid=a1e6c911-e6ed-4a81-becc-39d2c1133d25", "http://www.mendeley.com/documents/?uuid=583de0d9-fe60-4830-ad58-87a282ed9563", "http://www.mendeley.com/documents/?uuid=04d751be-527f-49cb-bcc7-dacb3f0b2a1b" ] } ], "mendeley" : { "formattedCitation" : "(Wilson &amp; Velis, 2015)", "manualFormatting" : "(Wilson &amp; Velis, 2015)", "plainTextFormattedCitation" : "(Wilson &amp; Velis, 2015)", "previouslyFormattedCitation" : "(WILSON; VELIS, 2015)"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w:t>
      </w:r>
      <w:r w:rsidR="006A489C">
        <w:rPr>
          <w:noProof/>
          <w:color w:val="212121"/>
          <w:lang w:val="pt-PT" w:eastAsia="pt-BR"/>
        </w:rPr>
        <w:t>ILSON;</w:t>
      </w:r>
      <w:r w:rsidRPr="00E83BAD">
        <w:rPr>
          <w:noProof/>
          <w:color w:val="212121"/>
          <w:lang w:val="pt-PT" w:eastAsia="pt-BR"/>
        </w:rPr>
        <w:t xml:space="preserve"> V</w:t>
      </w:r>
      <w:r w:rsidR="006A489C">
        <w:rPr>
          <w:noProof/>
          <w:color w:val="212121"/>
          <w:lang w:val="pt-PT" w:eastAsia="pt-BR"/>
        </w:rPr>
        <w:t>ELIS</w:t>
      </w:r>
      <w:r w:rsidRPr="00E83BAD">
        <w:rPr>
          <w:noProof/>
          <w:color w:val="212121"/>
          <w:lang w:val="pt-PT" w:eastAsia="pt-BR"/>
        </w:rPr>
        <w:t>, 2015)</w:t>
      </w:r>
      <w:r w:rsidRPr="00E83BAD">
        <w:rPr>
          <w:color w:val="212121"/>
          <w:lang w:val="pt-PT" w:eastAsia="pt-BR"/>
        </w:rPr>
        <w:fldChar w:fldCharType="end"/>
      </w:r>
      <w:r w:rsidRPr="00E83BAD">
        <w:rPr>
          <w:color w:val="212121"/>
          <w:lang w:val="pt-PT" w:eastAsia="pt-BR"/>
        </w:rPr>
        <w:t xml:space="preserve">. Porém, existem estudos que também apresentam barreiras na implementação de mecanismos para uma adequada gestão de resíduos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"Bufoni", "given" : "Andr\u00e9", "non-dropping-particle" : "", "parse-names" : false, "suffix" : "" }, { "dropping-particle" : "", "family" : "Cristina", "given" : "Araceli", "non-dropping-particle" : "", "parse-names" : false, "suffix" : "" } ], "id" : "ITEM-1", "issue" : "November", "issued" : { "date-parts" : [ [ "2016" ] ] }, "title" : "The Quality of Carbon Management Accounting Reporting as a Financial Barrier to Clean Development Mechanism ...", "type" : "article-journal" }, "uris" : [ "http://www.mendeley.com/documents/?uuid=41f2c64a-08f8-4299-841a-379cc5e4b968", "http://www.mendeley.com/documents/?uuid=74a09b54-81cf-4d7a-83d3-33938230c787" ] } ], "mendeley" : { "formattedCitation" : "(A. Bufoni &amp; Cristina, 2016)", "plainTextFormattedCitation" : "(A. Bufoni &amp; Cristina, 2016)", "previouslyFormattedCitation" : "(BUFONI; FERREIRA, 2016)"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(B</w:t>
      </w:r>
      <w:r w:rsidR="006A489C">
        <w:rPr>
          <w:noProof/>
          <w:color w:val="212121"/>
          <w:lang w:val="pt-PT" w:eastAsia="pt-BR"/>
        </w:rPr>
        <w:t>UFONI;</w:t>
      </w:r>
      <w:r w:rsidRPr="00E83BAD">
        <w:rPr>
          <w:noProof/>
          <w:color w:val="212121"/>
          <w:lang w:val="pt-PT" w:eastAsia="pt-BR"/>
        </w:rPr>
        <w:t xml:space="preserve"> F</w:t>
      </w:r>
      <w:r w:rsidR="006A489C">
        <w:rPr>
          <w:noProof/>
          <w:color w:val="212121"/>
          <w:lang w:val="pt-PT" w:eastAsia="pt-BR"/>
        </w:rPr>
        <w:t>ERREIRA</w:t>
      </w:r>
      <w:r w:rsidRPr="00E83BAD">
        <w:rPr>
          <w:noProof/>
          <w:color w:val="212121"/>
          <w:lang w:val="pt-PT" w:eastAsia="pt-BR"/>
        </w:rPr>
        <w:t>, 2016)</w:t>
      </w:r>
      <w:r w:rsidRPr="00E83BAD">
        <w:rPr>
          <w:color w:val="212121"/>
          <w:lang w:val="pt-PT" w:eastAsia="pt-BR"/>
        </w:rPr>
        <w:fldChar w:fldCharType="end"/>
      </w:r>
      <w:r w:rsidRPr="00E83BAD">
        <w:rPr>
          <w:color w:val="212121"/>
          <w:lang w:val="pt-PT" w:eastAsia="pt-BR"/>
        </w:rPr>
        <w:t xml:space="preserve">. Essas barreiras, não envolvem simplesmente o custo dos materiais descartados, abrange também o uso ineficiente de matérias-primas, uso desnecessário de energia e água, produtos defeituosos, eliminação de resíduos de subprodutos, tratamento de resíduos e desperdícios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"CIPS Knowledge Works", "given" : "", "non-dropping-particle" : "", "parse-names" : false, "suffix" : "" } ], "container-title" : "The Chartered Institute of Purchasing &amp; Supply", "id" : "ITEM-1", "issue" : "0", "issued" : { "date-parts" : [ [ "2007" ] ] }, "page" : "1-27", "title" : "How to develop a waste management and disposal strategy", "type" : "article-journal", "volume" : "44" }, "uris" : [ "http://www.mendeley.com/documents/?uuid=9a204041-c003-41e2-97f2-8f202a43b8b5", "http://www.mendeley.com/documents/?uuid=355ce6df-c1e9-4cb4-ad53-cc7302053684" ] } ], "mendeley" : { "formattedCitation" : "(CIPS Knowledge Works, 2007)", "plainTextFormattedCitation" : "(CIPS Knowledge Works, 2007)", "previouslyFormattedCitation" : "(CIPS KNOWLEDGE WORKS, 2007)"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(CIPS Knowledge Works, 2007)</w:t>
      </w:r>
      <w:r w:rsidRPr="00E83BAD">
        <w:rPr>
          <w:color w:val="212121"/>
          <w:lang w:val="pt-PT" w:eastAsia="pt-BR"/>
        </w:rPr>
        <w:fldChar w:fldCharType="end"/>
      </w:r>
      <w:r w:rsidRPr="00E83BAD">
        <w:rPr>
          <w:color w:val="212121"/>
          <w:lang w:val="pt-PT" w:eastAsia="pt-BR"/>
        </w:rPr>
        <w:t>.</w:t>
      </w:r>
    </w:p>
    <w:p w14:paraId="388AB44B" w14:textId="77777777" w:rsidR="009A552F" w:rsidRPr="00E83BAD" w:rsidRDefault="009A552F" w:rsidP="00E83BAD">
      <w:pPr>
        <w:pStyle w:val="HTMLPreformatted"/>
        <w:shd w:val="clear" w:color="auto" w:fill="FFFFFF"/>
        <w:rPr>
          <w:rFonts w:ascii="Times New Roman" w:hAnsi="Times New Roman" w:cs="Times New Roman"/>
          <w:color w:val="000000"/>
          <w:sz w:val="24"/>
          <w:szCs w:val="24"/>
        </w:rPr>
      </w:pPr>
      <w:r w:rsidRPr="00E83BAD">
        <w:rPr>
          <w:rFonts w:ascii="Times New Roman" w:hAnsi="Times New Roman" w:cs="Times New Roman"/>
          <w:color w:val="212121"/>
          <w:sz w:val="24"/>
          <w:szCs w:val="24"/>
          <w:lang w:val="pt-PT"/>
        </w:rPr>
        <w:t xml:space="preserve">Um exemplo recente e relevante que tratou a respeito da gestão dos resíduos, o </w:t>
      </w:r>
      <w:r w:rsidRPr="00E83BAD">
        <w:rPr>
          <w:rFonts w:ascii="Times New Roman" w:hAnsi="Times New Roman" w:cs="Times New Roman"/>
          <w:i/>
          <w:color w:val="212121"/>
          <w:sz w:val="24"/>
          <w:szCs w:val="24"/>
          <w:lang w:val="pt-PT"/>
        </w:rPr>
        <w:t>Global Waste Management Outlook</w:t>
      </w:r>
      <w:r w:rsidRPr="00E83BAD">
        <w:rPr>
          <w:rFonts w:ascii="Times New Roman" w:hAnsi="Times New Roman" w:cs="Times New Roman"/>
          <w:color w:val="212121"/>
          <w:sz w:val="24"/>
          <w:szCs w:val="24"/>
          <w:lang w:val="pt-PT"/>
        </w:rPr>
        <w:t xml:space="preserve"> (GWMO), de 2015, produzido pela </w:t>
      </w:r>
      <w:r w:rsidRPr="00E83BAD">
        <w:rPr>
          <w:rFonts w:ascii="Times New Roman" w:hAnsi="Times New Roman" w:cs="Times New Roman"/>
          <w:i/>
          <w:color w:val="212121"/>
          <w:sz w:val="24"/>
          <w:szCs w:val="24"/>
          <w:lang w:val="pt-PT"/>
        </w:rPr>
        <w:t>United Nations Environment Programme</w:t>
      </w:r>
      <w:r w:rsidRPr="00E83BAD">
        <w:rPr>
          <w:rFonts w:ascii="Times New Roman" w:hAnsi="Times New Roman" w:cs="Times New Roman"/>
          <w:color w:val="212121"/>
          <w:sz w:val="24"/>
          <w:szCs w:val="24"/>
          <w:lang w:val="pt-PT"/>
        </w:rPr>
        <w:t xml:space="preserve"> (UNEP) - Programa Ambiental das Nações Unidas ofereceu uma análise do “enorme potencial que uma melhor gestão de resíduos pode fornecer para ajudar a enfrentar os desafios de sustentabilidade futuros”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"10.1177/0734242X15616055", "ISBN" : "9789280734799", "abstract" : "In solid waste management there is no throwing 'away' The organic fraction of waste, collection vehicles, and waste disposal methods contribute to GHG emissions The last two decades have brought a new challenge for waste management: the growing vagaries of global secondary materials markets. In solid waste management there is no 'away'. When 'throwing away' waste, system complex-ities and the integrated nature of materials and pollution are quickly apparent. For example, waste incineration is expensive and poses challenges of air pollution and ash disposal. Incineration requires waste placed outside for collection to be containerized to stay dry, and much of the waste stream is not combustible. Landfills require land availability, and siting is often opposed by potential neighboring residents. Solving one problem often introduces a new one, and if not well executed, the new problem is often of greater cost and complexity.", "author" : [ { "dropping-particle" : "", "family" : "UNEP", "given" : "", "non-dropping-particle" : "", "parse-names" : false, "suffix" : "" } ], "id" : "ITEM-1", "issued" : { "date-parts" : [ [ "2015" ] ] }, "number-of-pages" : "4-7", "title" : "Global Waste Management Outlook", "type" : "book" }, "uris" : [ "http://www.mendeley.com/documents/?uuid=eddeb806-4ac6-4812-9a98-195f14f7e7cc" ] } ], "mendeley" : { "formattedCitation" : "(UNEP, 2015)", "plainTextFormattedCitation" : "(UNEP, 2015)", "previouslyFormattedCitation" : "(UNEP, 2015)"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(UNEP, 2015)</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Por outro lado, o relatório destina a maior parte de seu conteúdo a modelos de financiamento para pagar os custos de capital cuja</w:t>
      </w:r>
      <w:r w:rsidRPr="00E83BAD">
        <w:rPr>
          <w:rFonts w:ascii="Times New Roman" w:hAnsi="Times New Roman" w:cs="Times New Roman"/>
          <w:color w:val="000000"/>
          <w:sz w:val="24"/>
          <w:szCs w:val="24"/>
        </w:rPr>
        <w:t xml:space="preserve"> tecnologia necessária para o desenvolvimento desses projetos é de alto nível e, por isso, de alto custo. </w:t>
      </w:r>
    </w:p>
    <w:p w14:paraId="3C338055"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000000"/>
          <w:sz w:val="24"/>
          <w:szCs w:val="24"/>
        </w:rPr>
        <w:t>Um desses modelos é o</w:t>
      </w:r>
      <w:r w:rsidRPr="00E83BAD">
        <w:rPr>
          <w:rFonts w:ascii="Times New Roman" w:hAnsi="Times New Roman" w:cs="Times New Roman"/>
          <w:color w:val="212121"/>
          <w:sz w:val="24"/>
          <w:szCs w:val="24"/>
          <w:lang w:val="pt-PT"/>
        </w:rPr>
        <w:t xml:space="preserve"> MDL – Mecanismo de Desenvolvimento Limpo da UNFCCC (</w:t>
      </w:r>
      <w:r w:rsidRPr="00E83BAD">
        <w:rPr>
          <w:rFonts w:ascii="Times New Roman" w:hAnsi="Times New Roman" w:cs="Times New Roman"/>
          <w:i/>
          <w:color w:val="222222"/>
          <w:sz w:val="24"/>
          <w:szCs w:val="24"/>
          <w:shd w:val="clear" w:color="auto" w:fill="FFFFFF"/>
        </w:rPr>
        <w:t xml:space="preserve">United </w:t>
      </w:r>
      <w:proofErr w:type="spellStart"/>
      <w:r w:rsidRPr="00E83BAD">
        <w:rPr>
          <w:rFonts w:ascii="Times New Roman" w:hAnsi="Times New Roman" w:cs="Times New Roman"/>
          <w:i/>
          <w:color w:val="222222"/>
          <w:sz w:val="24"/>
          <w:szCs w:val="24"/>
          <w:shd w:val="clear" w:color="auto" w:fill="FFFFFF"/>
        </w:rPr>
        <w:t>Nations</w:t>
      </w:r>
      <w:proofErr w:type="spellEnd"/>
      <w:r w:rsidRPr="00E83BAD">
        <w:rPr>
          <w:rFonts w:ascii="Times New Roman" w:hAnsi="Times New Roman" w:cs="Times New Roman"/>
          <w:i/>
          <w:color w:val="222222"/>
          <w:sz w:val="24"/>
          <w:szCs w:val="24"/>
          <w:shd w:val="clear" w:color="auto" w:fill="FFFFFF"/>
        </w:rPr>
        <w:t xml:space="preserve"> Framework </w:t>
      </w:r>
      <w:proofErr w:type="spellStart"/>
      <w:r w:rsidRPr="00E83BAD">
        <w:rPr>
          <w:rFonts w:ascii="Times New Roman" w:hAnsi="Times New Roman" w:cs="Times New Roman"/>
          <w:i/>
          <w:color w:val="222222"/>
          <w:sz w:val="24"/>
          <w:szCs w:val="24"/>
          <w:shd w:val="clear" w:color="auto" w:fill="FFFFFF"/>
        </w:rPr>
        <w:t>Convention</w:t>
      </w:r>
      <w:proofErr w:type="spellEnd"/>
      <w:r w:rsidRPr="00E83BAD">
        <w:rPr>
          <w:rFonts w:ascii="Times New Roman" w:hAnsi="Times New Roman" w:cs="Times New Roman"/>
          <w:i/>
          <w:color w:val="222222"/>
          <w:sz w:val="24"/>
          <w:szCs w:val="24"/>
          <w:shd w:val="clear" w:color="auto" w:fill="FFFFFF"/>
        </w:rPr>
        <w:t xml:space="preserve"> </w:t>
      </w:r>
      <w:proofErr w:type="spellStart"/>
      <w:r w:rsidRPr="00E83BAD">
        <w:rPr>
          <w:rFonts w:ascii="Times New Roman" w:hAnsi="Times New Roman" w:cs="Times New Roman"/>
          <w:i/>
          <w:color w:val="222222"/>
          <w:sz w:val="24"/>
          <w:szCs w:val="24"/>
          <w:shd w:val="clear" w:color="auto" w:fill="FFFFFF"/>
        </w:rPr>
        <w:t>on</w:t>
      </w:r>
      <w:proofErr w:type="spellEnd"/>
      <w:r w:rsidRPr="00E83BAD">
        <w:rPr>
          <w:rFonts w:ascii="Times New Roman" w:hAnsi="Times New Roman" w:cs="Times New Roman"/>
          <w:i/>
          <w:color w:val="222222"/>
          <w:sz w:val="24"/>
          <w:szCs w:val="24"/>
          <w:shd w:val="clear" w:color="auto" w:fill="FFFFFF"/>
        </w:rPr>
        <w:t xml:space="preserve"> </w:t>
      </w:r>
      <w:proofErr w:type="spellStart"/>
      <w:r w:rsidRPr="00E83BAD">
        <w:rPr>
          <w:rFonts w:ascii="Times New Roman" w:hAnsi="Times New Roman" w:cs="Times New Roman"/>
          <w:i/>
          <w:color w:val="222222"/>
          <w:sz w:val="24"/>
          <w:szCs w:val="24"/>
          <w:shd w:val="clear" w:color="auto" w:fill="FFFFFF"/>
        </w:rPr>
        <w:t>Climate</w:t>
      </w:r>
      <w:proofErr w:type="spellEnd"/>
      <w:r w:rsidRPr="00E83BAD">
        <w:rPr>
          <w:rFonts w:ascii="Times New Roman" w:hAnsi="Times New Roman" w:cs="Times New Roman"/>
          <w:i/>
          <w:color w:val="222222"/>
          <w:sz w:val="24"/>
          <w:szCs w:val="24"/>
          <w:shd w:val="clear" w:color="auto" w:fill="FFFFFF"/>
        </w:rPr>
        <w:t xml:space="preserve"> </w:t>
      </w:r>
      <w:proofErr w:type="spellStart"/>
      <w:r w:rsidRPr="00E83BAD">
        <w:rPr>
          <w:rFonts w:ascii="Times New Roman" w:hAnsi="Times New Roman" w:cs="Times New Roman"/>
          <w:i/>
          <w:color w:val="222222"/>
          <w:sz w:val="24"/>
          <w:szCs w:val="24"/>
          <w:shd w:val="clear" w:color="auto" w:fill="FFFFFF"/>
        </w:rPr>
        <w:t>Change</w:t>
      </w:r>
      <w:proofErr w:type="spellEnd"/>
      <w:r w:rsidRPr="00E83BAD">
        <w:rPr>
          <w:rFonts w:ascii="Times New Roman" w:hAnsi="Times New Roman" w:cs="Times New Roman"/>
          <w:color w:val="222222"/>
          <w:sz w:val="24"/>
          <w:szCs w:val="24"/>
          <w:shd w:val="clear" w:color="auto" w:fill="FFFFFF"/>
        </w:rPr>
        <w:t xml:space="preserve">), criados </w:t>
      </w:r>
      <w:r w:rsidRPr="00E83BAD">
        <w:rPr>
          <w:rFonts w:ascii="Times New Roman" w:hAnsi="Times New Roman" w:cs="Times New Roman"/>
          <w:color w:val="212121"/>
          <w:sz w:val="24"/>
          <w:szCs w:val="24"/>
          <w:lang w:val="pt-PT"/>
        </w:rPr>
        <w:t xml:space="preserve">a partir do acordo internacional do </w:t>
      </w:r>
      <w:r w:rsidRPr="00E83BAD">
        <w:rPr>
          <w:rFonts w:ascii="Times New Roman" w:hAnsi="Times New Roman" w:cs="Times New Roman"/>
          <w:bCs/>
          <w:color w:val="222222"/>
          <w:sz w:val="24"/>
          <w:szCs w:val="24"/>
          <w:shd w:val="clear" w:color="auto" w:fill="FFFFFF"/>
        </w:rPr>
        <w:t>Protocolo de Kyoto</w:t>
      </w:r>
      <w:r w:rsidRPr="00E83BAD">
        <w:rPr>
          <w:rFonts w:ascii="Times New Roman" w:hAnsi="Times New Roman" w:cs="Times New Roman"/>
          <w:color w:val="222222"/>
          <w:sz w:val="24"/>
          <w:szCs w:val="24"/>
          <w:shd w:val="clear" w:color="auto" w:fill="FFFFFF"/>
        </w:rPr>
        <w:t xml:space="preserve">, em que os países desenvolvidos integrantes se comprometeram a reduzir a emissão de gases causadores do efeito estufa </w:t>
      </w:r>
      <w:r w:rsidRPr="00E83BAD">
        <w:rPr>
          <w:rFonts w:ascii="Times New Roman" w:hAnsi="Times New Roman" w:cs="Times New Roman"/>
          <w:color w:val="222222"/>
          <w:sz w:val="24"/>
          <w:szCs w:val="24"/>
          <w:shd w:val="clear" w:color="auto" w:fill="FFFFFF"/>
        </w:rPr>
        <w:fldChar w:fldCharType="begin" w:fldLock="1"/>
      </w:r>
      <w:r w:rsidRPr="00E83BAD">
        <w:rPr>
          <w:rFonts w:ascii="Times New Roman" w:hAnsi="Times New Roman" w:cs="Times New Roman"/>
          <w:color w:val="222222"/>
          <w:sz w:val="24"/>
          <w:szCs w:val="24"/>
          <w:shd w:val="clear" w:color="auto" w:fill="FFFFFF"/>
        </w:rPr>
        <w:instrText>ADDIN CSL_CITATION { "citationItems" : [ { "id" : "ITEM-1", "itemData" : { "author" : [ { "dropping-particle" : "", "family" : "UNFCCC", "given" : "", "non-dropping-particle" : "", "parse-names" : false, "suffix" : "" } ], "id" : "ITEM-1", "issued" : { "date-parts" : [ [ "2015" ] ] }, "title" : "Kyoto Protocol", "type" : "webpage" }, "uris" : [ "http://www.mendeley.com/documents/?uuid=b3f7e886-ddd3-4bce-8147-b92550a843f4", "http://www.mendeley.com/documents/?uuid=3527231a-4f54-4bd4-8b66-9078e16608c8" ] } ], "mendeley" : { "formattedCitation" : "(UNFCCC, 2015c)", "plainTextFormattedCitation" : "(UNFCCC, 2015c)", "previouslyFormattedCitation" : "(UNFCCC, 2015a)" }, "properties" : {  }, "schema" : "https://github.com/citation-style-language/schema/raw/master/csl-citation.json" }</w:instrText>
      </w:r>
      <w:r w:rsidRPr="00E83BAD">
        <w:rPr>
          <w:rFonts w:ascii="Times New Roman" w:hAnsi="Times New Roman" w:cs="Times New Roman"/>
          <w:color w:val="222222"/>
          <w:sz w:val="24"/>
          <w:szCs w:val="24"/>
          <w:shd w:val="clear" w:color="auto" w:fill="FFFFFF"/>
        </w:rPr>
        <w:fldChar w:fldCharType="separate"/>
      </w:r>
      <w:r w:rsidRPr="00E83BAD">
        <w:rPr>
          <w:rFonts w:ascii="Times New Roman" w:hAnsi="Times New Roman" w:cs="Times New Roman"/>
          <w:noProof/>
          <w:color w:val="222222"/>
          <w:sz w:val="24"/>
          <w:szCs w:val="24"/>
          <w:shd w:val="clear" w:color="auto" w:fill="FFFFFF"/>
        </w:rPr>
        <w:t>(UNFCCC, 2015c)</w:t>
      </w:r>
      <w:r w:rsidRPr="00E83BAD">
        <w:rPr>
          <w:rFonts w:ascii="Times New Roman" w:hAnsi="Times New Roman" w:cs="Times New Roman"/>
          <w:color w:val="222222"/>
          <w:sz w:val="24"/>
          <w:szCs w:val="24"/>
          <w:shd w:val="clear" w:color="auto" w:fill="FFFFFF"/>
        </w:rPr>
        <w:fldChar w:fldCharType="end"/>
      </w:r>
      <w:r w:rsidRPr="00E83BAD">
        <w:rPr>
          <w:rFonts w:ascii="Times New Roman" w:hAnsi="Times New Roman" w:cs="Times New Roman"/>
          <w:color w:val="222222"/>
          <w:sz w:val="24"/>
          <w:szCs w:val="24"/>
          <w:shd w:val="clear" w:color="auto" w:fill="FFFFFF"/>
        </w:rPr>
        <w:t>. O acordo previa a possibilidade de compensação de suas emissões com as emissões reduzidas por projetos registrados e realizados em países</w:t>
      </w:r>
      <w:r w:rsidRPr="00E83BAD">
        <w:rPr>
          <w:rStyle w:val="apple-converted-space"/>
          <w:rFonts w:ascii="Times New Roman" w:hAnsi="Times New Roman" w:cs="Times New Roman"/>
          <w:color w:val="222222"/>
          <w:sz w:val="24"/>
          <w:szCs w:val="24"/>
          <w:shd w:val="clear" w:color="auto" w:fill="FFFFFF"/>
        </w:rPr>
        <w:t xml:space="preserve"> em desenvolvimento </w:t>
      </w:r>
      <w:r w:rsidRPr="00E83BAD">
        <w:rPr>
          <w:rStyle w:val="apple-converted-space"/>
          <w:rFonts w:ascii="Times New Roman" w:hAnsi="Times New Roman" w:cs="Times New Roman"/>
          <w:color w:val="222222"/>
          <w:sz w:val="24"/>
          <w:szCs w:val="24"/>
          <w:shd w:val="clear" w:color="auto" w:fill="FFFFFF"/>
        </w:rPr>
        <w:fldChar w:fldCharType="begin" w:fldLock="1"/>
      </w:r>
      <w:r w:rsidRPr="00E83BAD">
        <w:rPr>
          <w:rStyle w:val="apple-converted-space"/>
          <w:rFonts w:ascii="Times New Roman" w:hAnsi="Times New Roman" w:cs="Times New Roman"/>
          <w:color w:val="222222"/>
          <w:sz w:val="24"/>
          <w:szCs w:val="24"/>
          <w:shd w:val="clear" w:color="auto" w:fill="FFFFFF"/>
        </w:rPr>
        <w:instrText>ADDIN CSL_CITATION { "citationItems" : [ { "id" : "ITEM-1", "itemData" : { "author" : [ { "dropping-particle" : "", "family" : "UNFCCC", "given" : "", "non-dropping-particle" : "", "parse-names" : false, "suffix" : "" } ], "id" : "ITEM-1", "issued" : { "date-parts" : [ [ "2015" ] ] }, "title" : "CDM: About CDM", "type" : "webpage" }, "uris" : [ "http://www.mendeley.com/documents/?uuid=6f2e4dc7-d455-4702-9041-91aedcf4755c", "http://www.mendeley.com/documents/?uuid=a9064303-9bd5-476e-9823-004a41235148" ] } ], "mendeley" : { "formattedCitation" : "(UNFCCC, 2015a)", "plainTextFormattedCitation" : "(UNFCCC, 2015a)", "previouslyFormattedCitation" : "(UNFCCC, 2015b)" }, "properties" : {  }, "schema" : "https://github.com/citation-style-language/schema/raw/master/csl-citation.json" }</w:instrText>
      </w:r>
      <w:r w:rsidRPr="00E83BAD">
        <w:rPr>
          <w:rStyle w:val="apple-converted-space"/>
          <w:rFonts w:ascii="Times New Roman" w:hAnsi="Times New Roman" w:cs="Times New Roman"/>
          <w:color w:val="222222"/>
          <w:sz w:val="24"/>
          <w:szCs w:val="24"/>
          <w:shd w:val="clear" w:color="auto" w:fill="FFFFFF"/>
        </w:rPr>
        <w:fldChar w:fldCharType="separate"/>
      </w:r>
      <w:r w:rsidRPr="00E83BAD">
        <w:rPr>
          <w:rStyle w:val="apple-converted-space"/>
          <w:rFonts w:ascii="Times New Roman" w:hAnsi="Times New Roman" w:cs="Times New Roman"/>
          <w:noProof/>
          <w:color w:val="222222"/>
          <w:sz w:val="24"/>
          <w:szCs w:val="24"/>
          <w:shd w:val="clear" w:color="auto" w:fill="FFFFFF"/>
        </w:rPr>
        <w:t>(UNFCCC, 2015a)</w:t>
      </w:r>
      <w:r w:rsidRPr="00E83BAD">
        <w:rPr>
          <w:rStyle w:val="apple-converted-space"/>
          <w:rFonts w:ascii="Times New Roman" w:hAnsi="Times New Roman" w:cs="Times New Roman"/>
          <w:color w:val="222222"/>
          <w:sz w:val="24"/>
          <w:szCs w:val="24"/>
          <w:shd w:val="clear" w:color="auto" w:fill="FFFFFF"/>
        </w:rPr>
        <w:fldChar w:fldCharType="end"/>
      </w:r>
      <w:r w:rsidRPr="00E83BAD">
        <w:rPr>
          <w:rStyle w:val="apple-converted-space"/>
          <w:rFonts w:ascii="Times New Roman" w:hAnsi="Times New Roman" w:cs="Times New Roman"/>
          <w:color w:val="222222"/>
          <w:sz w:val="24"/>
          <w:szCs w:val="24"/>
          <w:shd w:val="clear" w:color="auto" w:fill="FFFFFF"/>
        </w:rPr>
        <w:t>.</w:t>
      </w:r>
    </w:p>
    <w:p w14:paraId="1ECF039D"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Um ponto essencial, segundo a UNEP é </w:t>
      </w:r>
      <w:proofErr w:type="gramStart"/>
      <w:r w:rsidRPr="00E83BAD">
        <w:rPr>
          <w:rFonts w:ascii="Times New Roman" w:hAnsi="Times New Roman" w:cs="Times New Roman"/>
          <w:color w:val="212121"/>
          <w:sz w:val="24"/>
          <w:szCs w:val="24"/>
          <w:lang w:val="pt-PT"/>
        </w:rPr>
        <w:t>o entendimentos</w:t>
      </w:r>
      <w:proofErr w:type="gramEnd"/>
      <w:r w:rsidRPr="00E83BAD">
        <w:rPr>
          <w:rFonts w:ascii="Times New Roman" w:hAnsi="Times New Roman" w:cs="Times New Roman"/>
          <w:color w:val="212121"/>
          <w:sz w:val="24"/>
          <w:szCs w:val="24"/>
          <w:lang w:val="pt-PT"/>
        </w:rPr>
        <w:t xml:space="preserve"> dos custos financeiros e economicos da gestão de resíduos. Soluções de gestão sustentável de resíduos precisam de uma base de evidência econômica confiável. Assim, muito mais trabalho precisa ser feito, tanto a nível mundial como em particular nos países em desenvolvimento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"10.1177/0734242X15616055", "ISBN" : "9789280734799", "abstract" : "In solid waste management there is no throwing 'away' The organic fraction of waste, collection vehicles, and waste disposal methods contribute to GHG emissions The last two decades have brought a new challenge for waste management: the growing vagaries of global secondary materials markets. In solid waste management there is no 'away'. When 'throwing away' waste, system complex-ities and the integrated nature of materials and pollution are quickly apparent. For example, waste incineration is expensive and poses challenges of air pollution and ash disposal. Incineration requires waste placed outside for collection to be containerized to stay dry, and much of the waste stream is not combustible. Landfills require land availability, and siting is often opposed by potential neighboring residents. Solving one problem often introduces a new one, and if not well executed, the new problem is often of greater cost and complexity.", "author" : [ { "dropping-particle" : "", "family" : "UNEP", "given" : "", "non-dropping-particle" : "", "parse-names" : false, "suffix" : "" } ], "id" : "ITEM-1", "issued" : { "date-parts" : [ [ "2015" ] ] }, "number-of-pages" : "4-7", "title" : "Global Waste Management Outlook", "type" : "book" }, "uris" : [ "http://www.mendeley.com/documents/?uuid=eddeb806-4ac6-4812-9a98-195f14f7e7cc" ] } ], "mendeley" : { "formattedCitation" : "(UNEP, 2015)", "plainTextFormattedCitation" : "(UNEP, 2015)", "previouslyFormattedCitation" : "(UNEP, 2015)"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(UNEP, 2015)</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w:t>
      </w:r>
    </w:p>
    <w:p w14:paraId="06CA637F" w14:textId="474BC4C6"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 qualidade dos projetos, ou seja, o desenvolvimento de projetos bem sucedidos exige o cumprimento de padrões rigorosos de análise e documentação de benefícios de carbono, trabalhando através de uma série de questões legais, de negócios e de relações comunitárias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"Olander", "given" : "Jacob", "non-dropping-particle" : "", "parse-names" : false, "suffix" : "" } ], "container-title" : "Forest Trends", "id" : "ITEM-1", "issued" : { "date-parts" : [ [ "2011" ] ] }, "page" : "45 pp.", "title" : "Building forest carbon projects", "type" : "article-journal" }, "uris" : [ "http://www.mendeley.com/documents/?uuid=ff7218ce-bdd0-403c-a92f-436f7c6bc7fc", "http://www.mendeley.com/documents/?uuid=951ec9d6-6d3a-4e59-b876-796cd0ea229c" ] } ], "mendeley" : { "formattedCitation" : "(Olander, 2011)", "plainTextFormattedCitation" : "(Olander, 2011)", "previouslyFormattedCitation" : "(OLANDER, 2011)"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(O</w:t>
      </w:r>
      <w:r w:rsidR="009633DA">
        <w:rPr>
          <w:rFonts w:ascii="Times New Roman" w:hAnsi="Times New Roman" w:cs="Times New Roman"/>
          <w:noProof/>
          <w:color w:val="212121"/>
          <w:sz w:val="24"/>
          <w:szCs w:val="24"/>
          <w:lang w:val="pt-PT"/>
        </w:rPr>
        <w:t>LANDER et al.</w:t>
      </w:r>
      <w:r w:rsidRPr="00E83BAD">
        <w:rPr>
          <w:rFonts w:ascii="Times New Roman" w:hAnsi="Times New Roman" w:cs="Times New Roman"/>
          <w:noProof/>
          <w:color w:val="212121"/>
          <w:sz w:val="24"/>
          <w:szCs w:val="24"/>
          <w:lang w:val="pt-PT"/>
        </w:rPr>
        <w:t>, 2011)</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Além de viáveis, os projetos devem ser rentáveis, e isso inclui o retorno pelo risco envolvido. </w:t>
      </w:r>
    </w:p>
    <w:p w14:paraId="1D57C13A"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Dessa maneira, os projetos devem ter números financeiros com base em evidências econômicas confiáveis e consistentes com o real, porque as taxas decorrentes são utilizadas nas estimativas dos cálculos do investimento como um todo. Em resumo, essas estimativas devem possuir qualidade para proporcionar números confiáveis e consistentes com o real.</w:t>
      </w:r>
    </w:p>
    <w:p w14:paraId="4A9C897D"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Devido a essa complexidade e necessidade de estimativas específicas relacionadas a cada país, projeto e situação, é possível identificar que existem dificuldades na obtenção de evidência econômica confiável, além de bons relatórios financeiros que embasem as decisões de investimento. Assim, surge o problema de pesquisa que conduz o objetivo deste estudo é: </w:t>
      </w:r>
    </w:p>
    <w:p w14:paraId="72535BD2" w14:textId="5C62F1AB" w:rsidR="009A552F" w:rsidRPr="00E83BAD" w:rsidRDefault="009A552F" w:rsidP="00E83BAD">
      <w:pPr>
        <w:pStyle w:val="HTMLPreformatted"/>
        <w:shd w:val="clear" w:color="auto" w:fill="FFFFFF"/>
        <w:rPr>
          <w:rFonts w:ascii="Times New Roman" w:hAnsi="Times New Roman" w:cs="Times New Roman"/>
          <w:b/>
          <w:color w:val="212121"/>
          <w:sz w:val="24"/>
          <w:szCs w:val="24"/>
          <w:lang w:val="pt-PT"/>
        </w:rPr>
      </w:pPr>
      <w:r w:rsidRPr="00E83BAD">
        <w:rPr>
          <w:rFonts w:ascii="Times New Roman" w:hAnsi="Times New Roman" w:cs="Times New Roman"/>
          <w:b/>
          <w:color w:val="212121"/>
          <w:sz w:val="24"/>
          <w:szCs w:val="24"/>
          <w:lang w:val="pt-PT"/>
        </w:rPr>
        <w:lastRenderedPageBreak/>
        <w:t>Q1:</w:t>
      </w:r>
      <w:r w:rsidRPr="00E83BAD">
        <w:rPr>
          <w:rFonts w:ascii="Times New Roman" w:hAnsi="Times New Roman" w:cs="Times New Roman"/>
          <w:color w:val="212121"/>
          <w:sz w:val="24"/>
          <w:szCs w:val="24"/>
          <w:lang w:val="pt-PT"/>
        </w:rPr>
        <w:t xml:space="preserve"> </w:t>
      </w:r>
      <w:r w:rsidRPr="00E83BAD">
        <w:rPr>
          <w:rFonts w:ascii="Times New Roman" w:hAnsi="Times New Roman" w:cs="Times New Roman"/>
          <w:b/>
          <w:color w:val="212121"/>
          <w:sz w:val="24"/>
          <w:szCs w:val="24"/>
          <w:lang w:val="pt-PT"/>
        </w:rPr>
        <w:t xml:space="preserve">Qual a qualidade </w:t>
      </w:r>
      <w:r w:rsidR="00E17B10">
        <w:rPr>
          <w:rFonts w:ascii="Times New Roman" w:hAnsi="Times New Roman" w:cs="Times New Roman"/>
          <w:b/>
          <w:color w:val="212121"/>
          <w:sz w:val="24"/>
          <w:szCs w:val="24"/>
          <w:lang w:val="pt-PT"/>
        </w:rPr>
        <w:t>do relatório financeiro</w:t>
      </w:r>
      <w:r w:rsidRPr="00E83BAD">
        <w:rPr>
          <w:rFonts w:ascii="Times New Roman" w:hAnsi="Times New Roman" w:cs="Times New Roman"/>
          <w:b/>
          <w:color w:val="212121"/>
          <w:sz w:val="24"/>
          <w:szCs w:val="24"/>
          <w:lang w:val="pt-PT"/>
        </w:rPr>
        <w:t xml:space="preserve"> apresentad</w:t>
      </w:r>
      <w:r w:rsidR="00E17B10">
        <w:rPr>
          <w:rFonts w:ascii="Times New Roman" w:hAnsi="Times New Roman" w:cs="Times New Roman"/>
          <w:b/>
          <w:color w:val="212121"/>
          <w:sz w:val="24"/>
          <w:szCs w:val="24"/>
          <w:lang w:val="pt-PT"/>
        </w:rPr>
        <w:t>o</w:t>
      </w:r>
      <w:r w:rsidRPr="00E83BAD">
        <w:rPr>
          <w:rFonts w:ascii="Times New Roman" w:hAnsi="Times New Roman" w:cs="Times New Roman"/>
          <w:b/>
          <w:color w:val="212121"/>
          <w:sz w:val="24"/>
          <w:szCs w:val="24"/>
          <w:lang w:val="pt-PT"/>
        </w:rPr>
        <w:t xml:space="preserve"> para </w:t>
      </w:r>
      <w:proofErr w:type="gramStart"/>
      <w:r w:rsidRPr="00E83BAD">
        <w:rPr>
          <w:rFonts w:ascii="Times New Roman" w:hAnsi="Times New Roman" w:cs="Times New Roman"/>
          <w:b/>
          <w:color w:val="212121"/>
          <w:sz w:val="24"/>
          <w:szCs w:val="24"/>
          <w:lang w:val="pt-PT"/>
        </w:rPr>
        <w:t>registrar</w:t>
      </w:r>
      <w:proofErr w:type="gramEnd"/>
      <w:r w:rsidRPr="00E83BAD">
        <w:rPr>
          <w:rFonts w:ascii="Times New Roman" w:hAnsi="Times New Roman" w:cs="Times New Roman"/>
          <w:b/>
          <w:color w:val="212121"/>
          <w:sz w:val="24"/>
          <w:szCs w:val="24"/>
          <w:lang w:val="pt-PT"/>
        </w:rPr>
        <w:t xml:space="preserve"> um projeto de resíduos animais como MDL na UNFCCC?</w:t>
      </w:r>
    </w:p>
    <w:p w14:paraId="02F67836" w14:textId="5ADE22D5" w:rsidR="00F10603"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Sendo assim, o objetivo deste trabalho foi analisar os relatórios e investigar qual a qualidade das informações </w:t>
      </w:r>
      <w:r w:rsidR="00E17B10">
        <w:rPr>
          <w:rFonts w:ascii="Times New Roman" w:hAnsi="Times New Roman" w:cs="Times New Roman"/>
          <w:color w:val="212121"/>
          <w:sz w:val="24"/>
          <w:szCs w:val="24"/>
          <w:lang w:val="pt-PT"/>
        </w:rPr>
        <w:t>contidas nos</w:t>
      </w:r>
      <w:r w:rsidRPr="00E83BAD">
        <w:rPr>
          <w:rFonts w:ascii="Times New Roman" w:hAnsi="Times New Roman" w:cs="Times New Roman"/>
          <w:color w:val="212121"/>
          <w:sz w:val="24"/>
          <w:szCs w:val="24"/>
          <w:lang w:val="pt-PT"/>
        </w:rPr>
        <w:t xml:space="preserve"> 103 projetos de Sistemas de Gestão de Resíduos Animais. </w:t>
      </w:r>
      <w:r w:rsidR="00F10603" w:rsidRPr="00E83BAD">
        <w:rPr>
          <w:rFonts w:ascii="Times New Roman" w:hAnsi="Times New Roman" w:cs="Times New Roman"/>
          <w:color w:val="212121"/>
          <w:sz w:val="24"/>
          <w:szCs w:val="24"/>
          <w:lang w:val="pt-PT"/>
        </w:rPr>
        <w:t xml:space="preserve">Deve-se considerar que essas informações financeiras contidas nos relatórios servem como base para a tomada de decisão de usuários externos. O principal deles é o próprio investidor que aplica recursos financeiros para a execução dos projetos de MDL. Adicionalmente, a Organização das Nações Unidas (ONU) desempenha o papel de “garantidora” do projeto, ou seja, é responsável por analisar e avaliar as informações divulgadas nos relatórios e, por fim, liberar os projetos. Dessa forma, a ONU deve atestar que os projetos se adequam a um nível mínimo de </w:t>
      </w:r>
      <w:r w:rsidR="008A482C" w:rsidRPr="00E83BAD">
        <w:rPr>
          <w:rFonts w:ascii="Times New Roman" w:hAnsi="Times New Roman" w:cs="Times New Roman"/>
          <w:color w:val="212121"/>
          <w:sz w:val="24"/>
          <w:szCs w:val="24"/>
          <w:lang w:val="pt-PT"/>
        </w:rPr>
        <w:t>qualidade</w:t>
      </w:r>
      <w:r w:rsidR="00F10603" w:rsidRPr="00E83BAD">
        <w:rPr>
          <w:rFonts w:ascii="Times New Roman" w:hAnsi="Times New Roman" w:cs="Times New Roman"/>
          <w:color w:val="212121"/>
          <w:sz w:val="24"/>
          <w:szCs w:val="24"/>
          <w:lang w:val="pt-PT"/>
        </w:rPr>
        <w:t xml:space="preserve">. Além disso, outros usuários externos utilizam essas informações nas suas atividades, tais como organizações governamentais e do terceiro setor.  </w:t>
      </w:r>
    </w:p>
    <w:p w14:paraId="446E58E7" w14:textId="061381E1"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 qualidade das informações </w:t>
      </w:r>
      <w:r w:rsidR="00E17B10">
        <w:rPr>
          <w:rFonts w:ascii="Times New Roman" w:hAnsi="Times New Roman" w:cs="Times New Roman"/>
          <w:color w:val="212121"/>
          <w:sz w:val="24"/>
          <w:szCs w:val="24"/>
          <w:lang w:val="pt-PT"/>
        </w:rPr>
        <w:t>apresentadas pelos proponentes</w:t>
      </w:r>
      <w:r w:rsidR="00E17B10" w:rsidRPr="00E83BAD">
        <w:rPr>
          <w:rFonts w:ascii="Times New Roman" w:hAnsi="Times New Roman" w:cs="Times New Roman"/>
          <w:color w:val="212121"/>
          <w:sz w:val="24"/>
          <w:szCs w:val="24"/>
          <w:lang w:val="pt-PT"/>
        </w:rPr>
        <w:t xml:space="preserve"> </w:t>
      </w:r>
      <w:r w:rsidRPr="00E83BAD">
        <w:rPr>
          <w:rFonts w:ascii="Times New Roman" w:hAnsi="Times New Roman" w:cs="Times New Roman"/>
          <w:color w:val="212121"/>
          <w:sz w:val="24"/>
          <w:szCs w:val="24"/>
          <w:lang w:val="pt-PT"/>
        </w:rPr>
        <w:t xml:space="preserve">foi definida </w:t>
      </w:r>
      <w:r w:rsidR="00E17B10">
        <w:rPr>
          <w:rFonts w:ascii="Times New Roman" w:hAnsi="Times New Roman" w:cs="Times New Roman"/>
          <w:color w:val="212121"/>
          <w:sz w:val="24"/>
          <w:szCs w:val="24"/>
          <w:lang w:val="pt-PT"/>
        </w:rPr>
        <w:t>sob o ponto de vista financeiro</w:t>
      </w:r>
      <w:r w:rsidRPr="00E83BAD">
        <w:rPr>
          <w:rFonts w:ascii="Times New Roman" w:hAnsi="Times New Roman" w:cs="Times New Roman"/>
          <w:color w:val="212121"/>
          <w:sz w:val="24"/>
          <w:szCs w:val="24"/>
          <w:lang w:val="pt-PT"/>
        </w:rPr>
        <w:t xml:space="preserve">: </w:t>
      </w:r>
      <w:r w:rsidR="00E17B10">
        <w:rPr>
          <w:rFonts w:ascii="Times New Roman" w:hAnsi="Times New Roman" w:cs="Times New Roman"/>
          <w:color w:val="212121"/>
          <w:sz w:val="24"/>
          <w:szCs w:val="24"/>
          <w:lang w:val="pt-PT"/>
        </w:rPr>
        <w:t>assim,</w:t>
      </w:r>
      <w:r w:rsidRPr="00E83BAD">
        <w:rPr>
          <w:rFonts w:ascii="Times New Roman" w:hAnsi="Times New Roman" w:cs="Times New Roman"/>
          <w:color w:val="212121"/>
          <w:sz w:val="24"/>
          <w:szCs w:val="24"/>
          <w:lang w:val="pt-PT"/>
        </w:rPr>
        <w:t xml:space="preserve"> identificou as premissas utilizadas, em que foi verificado se os projetos consideraram todos os fatores na formação dos indicadores financeiros conforme indicado por Assaf Neto (1992) e as diretrizes da UNFCCC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"UNFCCC", "given" : "", "non-dropping-particle" : "", "parse-names" : false, "suffix" : "" } ], "id" : "ITEM-1", "issued" : { "date-parts" : [ [ "2011" ] ] }, "number-of-pages" : "12", "title" : "CDM \u2013 Executive Board Annex 5: GUIDELINES ON THE ASSESSMENT OF INVESTMENT ANALYSIS", "type" : "report" }, "suppress-author" : 1, "uris" : [ "http://www.mendeley.com/documents/?uuid=71a1daa5-fa2b-3b1f-aff4-a552b03184ef", "http://www.mendeley.com/documents/?uuid=8a5acc00-957c-4ee4-ab61-3ef717982530" ] } ], "mendeley" : { "formattedCitation" : "(2011)", "plainTextFormattedCitation" : "(2011)", "previouslyFormattedCitation" : "(2011)"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(2011)</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w:t>
      </w:r>
    </w:p>
    <w:p w14:paraId="585572FB" w14:textId="77777777" w:rsidR="009A552F" w:rsidRPr="00E83BAD" w:rsidRDefault="009A552F" w:rsidP="00E83BAD">
      <w:pPr>
        <w:pStyle w:val="HTMLPreformatted"/>
        <w:shd w:val="clear" w:color="auto" w:fill="FFFFFF"/>
        <w:rPr>
          <w:rStyle w:val="apple-converted-space"/>
          <w:rFonts w:ascii="Times New Roman" w:hAnsi="Times New Roman" w:cs="Times New Roman"/>
          <w:color w:val="222222"/>
          <w:sz w:val="24"/>
          <w:szCs w:val="24"/>
          <w:shd w:val="clear" w:color="auto" w:fill="FFFFFF"/>
        </w:rPr>
      </w:pPr>
      <w:r w:rsidRPr="00E83BAD">
        <w:rPr>
          <w:rStyle w:val="apple-converted-space"/>
          <w:rFonts w:ascii="Times New Roman" w:hAnsi="Times New Roman" w:cs="Times New Roman"/>
          <w:color w:val="222222"/>
          <w:sz w:val="24"/>
          <w:szCs w:val="24"/>
          <w:shd w:val="clear" w:color="auto" w:fill="FFFFFF"/>
        </w:rPr>
        <w:t>Este parágrafo fecha esta primeira seção com o desenvolvimento da justificativa desta pesquisa. A próxima seção apresenta o referencial teórico em que se baseia esta pesquisa. Na terceira seção consta a estratégia metodológica que foi utilizada para análise dos projetos e a descrição da amostra. Na quarta estão os resultados encontrados e as análises desenvolvidas que, serviram como base para a elaboração da quinta seção em que são feitas as discussões dos resultados. Por fim, na sexta são feitas as considerações finais a respeito dos achados da pesquisa.</w:t>
      </w:r>
    </w:p>
    <w:p w14:paraId="6128E897" w14:textId="77777777" w:rsidR="009A552F" w:rsidRPr="00E83BAD" w:rsidRDefault="009A552F" w:rsidP="00E83BAD">
      <w:pPr>
        <w:pStyle w:val="HTMLPreformatted"/>
        <w:shd w:val="clear" w:color="auto" w:fill="FFFFFF"/>
        <w:rPr>
          <w:rStyle w:val="apple-converted-space"/>
          <w:rFonts w:ascii="Times New Roman" w:hAnsi="Times New Roman" w:cs="Times New Roman"/>
          <w:color w:val="222222"/>
          <w:sz w:val="24"/>
          <w:szCs w:val="24"/>
          <w:shd w:val="clear" w:color="auto" w:fill="FFFFFF"/>
        </w:rPr>
      </w:pPr>
    </w:p>
    <w:p w14:paraId="796FC7C9" w14:textId="77777777" w:rsidR="009A552F" w:rsidRPr="00E83BAD" w:rsidRDefault="009A552F" w:rsidP="00E83BAD">
      <w:pPr>
        <w:pStyle w:val="Heading2"/>
        <w:spacing w:before="0" w:line="240" w:lineRule="auto"/>
        <w:ind w:left="0" w:firstLine="709"/>
        <w:rPr>
          <w:rStyle w:val="apple-converted-space"/>
          <w:szCs w:val="24"/>
        </w:rPr>
      </w:pPr>
      <w:r w:rsidRPr="00E83BAD">
        <w:rPr>
          <w:rStyle w:val="apple-converted-space"/>
          <w:szCs w:val="24"/>
        </w:rPr>
        <w:t>R</w:t>
      </w:r>
      <w:r w:rsidR="006448C0" w:rsidRPr="00E83BAD">
        <w:rPr>
          <w:rStyle w:val="apple-converted-space"/>
          <w:szCs w:val="24"/>
        </w:rPr>
        <w:t>EFERENCIAL TEÓRICO</w:t>
      </w:r>
    </w:p>
    <w:p w14:paraId="50506F8B" w14:textId="77777777" w:rsidR="009A552F" w:rsidRPr="00E83BAD" w:rsidRDefault="009A552F" w:rsidP="00E83BAD">
      <w:pPr>
        <w:pStyle w:val="Heading2"/>
        <w:numPr>
          <w:ilvl w:val="1"/>
          <w:numId w:val="3"/>
        </w:numPr>
        <w:spacing w:before="0" w:line="240" w:lineRule="auto"/>
        <w:ind w:left="0" w:firstLine="709"/>
        <w:rPr>
          <w:szCs w:val="24"/>
        </w:rPr>
      </w:pPr>
      <w:r w:rsidRPr="00E83BAD">
        <w:rPr>
          <w:szCs w:val="24"/>
        </w:rPr>
        <w:t>Gestão de Resíduos</w:t>
      </w:r>
    </w:p>
    <w:p w14:paraId="38D3F559" w14:textId="0B8C1A82"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 questão da geração de resíduos é uma questão que remonta meados do século passado, quando começaram a ser sentidas as primeiras consequências da poluição. O aumento da poluição é o resultado, principalmente, de um modelo de desenvolvimento baseado no crescimento econômico, representado pelo aumento da renda, refletido e mensurado no Produto Interno Bruto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"Pearce", "given" : "D. W.", "non-dropping-particle" : "", "parse-names" : false, "suffix" : "" }, { "dropping-particle" : "", "family" : "Turner", "given" : "R. K.", "non-dropping-particle" : "", "parse-names" : false, "suffix" : "" } ], "id" : "ITEM-1", "issued" : { "date-parts" : [ [ "1989" ] ] }, "publisher" : "Johns Hopkins University", "title" : "Economics of Natural Resources and the Environment", "type" : "book" }, "uris" : [ "http://www.mendeley.com/documents/?uuid=2e4ae9da-f1a6-483c-af4e-666c47499de1", "http://www.mendeley.com/documents/?uuid=2a48f620-0db3-4a73-8433-9da5b8d9c509" ] }, { "id" : "ITEM-2", "itemData" : { "DOI" : "http://dx.doi.org/10.1017/CBO9781139173513", "ISBN" : "9780521322249", "author" : [ { "dropping-particle" : "", "family" : "Baumol", "given" : "W.", "non-dropping-particle" : "", "parse-names" : false, "suffix" : "" }, { "dropping-particle" : "", "family" : "Oats", "given" : "W.", "non-dropping-particle" : "", "parse-names" : false, "suffix" : "" } ], "edition" : "2nd Editio", "id" : "ITEM-2", "issued" : { "date-parts" : [ [ "1988" ] ] }, "publisher" : "Cambridge University Press", "title" : "The Theory of Environmental Policy", "type" : "book" }, "uris" : [ "http://www.mendeley.com/documents/?uuid=ce5bf6c2-617c-4f13-9456-3d6fea309899", "http://www.mendeley.com/documents/?uuid=b3e1fa24-632f-4cb3-b030-b361add55ec8" ] } ], "mendeley" : { "formattedCitation" : "(Baumol &amp; Oats, 1988; Pearce &amp; Turner, 1989)", "plainTextFormattedCitation" : "(Baumol &amp; Oats, 1988; Pearce &amp; Turner, 1989)", "previouslyFormattedCitation" : "(BAUMOL; OATS, 1988; PEARCE; TURNER, 1989)"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(B</w:t>
      </w:r>
      <w:r w:rsidR="008B4318">
        <w:rPr>
          <w:rFonts w:ascii="Times New Roman" w:hAnsi="Times New Roman" w:cs="Times New Roman"/>
          <w:noProof/>
          <w:color w:val="212121"/>
          <w:sz w:val="24"/>
          <w:szCs w:val="24"/>
          <w:lang w:val="pt-PT"/>
        </w:rPr>
        <w:t xml:space="preserve">AUMOL; </w:t>
      </w:r>
      <w:r w:rsidRPr="00E83BAD">
        <w:rPr>
          <w:rFonts w:ascii="Times New Roman" w:hAnsi="Times New Roman" w:cs="Times New Roman"/>
          <w:noProof/>
          <w:color w:val="212121"/>
          <w:sz w:val="24"/>
          <w:szCs w:val="24"/>
          <w:lang w:val="pt-PT"/>
        </w:rPr>
        <w:t xml:space="preserve"> O</w:t>
      </w:r>
      <w:r w:rsidR="008B4318">
        <w:rPr>
          <w:rFonts w:ascii="Times New Roman" w:hAnsi="Times New Roman" w:cs="Times New Roman"/>
          <w:noProof/>
          <w:color w:val="212121"/>
          <w:sz w:val="24"/>
          <w:szCs w:val="24"/>
          <w:lang w:val="pt-PT"/>
        </w:rPr>
        <w:t>ATS</w:t>
      </w:r>
      <w:r w:rsidRPr="00E83BAD">
        <w:rPr>
          <w:rFonts w:ascii="Times New Roman" w:hAnsi="Times New Roman" w:cs="Times New Roman"/>
          <w:noProof/>
          <w:color w:val="212121"/>
          <w:sz w:val="24"/>
          <w:szCs w:val="24"/>
          <w:lang w:val="pt-PT"/>
        </w:rPr>
        <w:t>, 1988; P</w:t>
      </w:r>
      <w:r w:rsidR="008B4318">
        <w:rPr>
          <w:rFonts w:ascii="Times New Roman" w:hAnsi="Times New Roman" w:cs="Times New Roman"/>
          <w:noProof/>
          <w:color w:val="212121"/>
          <w:sz w:val="24"/>
          <w:szCs w:val="24"/>
          <w:lang w:val="pt-PT"/>
        </w:rPr>
        <w:t>EARCE;</w:t>
      </w:r>
      <w:r w:rsidRPr="00E83BAD">
        <w:rPr>
          <w:rFonts w:ascii="Times New Roman" w:hAnsi="Times New Roman" w:cs="Times New Roman"/>
          <w:noProof/>
          <w:color w:val="212121"/>
          <w:sz w:val="24"/>
          <w:szCs w:val="24"/>
          <w:lang w:val="pt-PT"/>
        </w:rPr>
        <w:t xml:space="preserve"> T</w:t>
      </w:r>
      <w:r w:rsidR="008B4318">
        <w:rPr>
          <w:rFonts w:ascii="Times New Roman" w:hAnsi="Times New Roman" w:cs="Times New Roman"/>
          <w:noProof/>
          <w:color w:val="212121"/>
          <w:sz w:val="24"/>
          <w:szCs w:val="24"/>
          <w:lang w:val="pt-PT"/>
        </w:rPr>
        <w:t>URNER</w:t>
      </w:r>
      <w:r w:rsidRPr="00E83BAD">
        <w:rPr>
          <w:rFonts w:ascii="Times New Roman" w:hAnsi="Times New Roman" w:cs="Times New Roman"/>
          <w:noProof/>
          <w:color w:val="212121"/>
          <w:sz w:val="24"/>
          <w:szCs w:val="24"/>
          <w:lang w:val="pt-PT"/>
        </w:rPr>
        <w:t>, 1989)</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w:t>
      </w:r>
    </w:p>
    <w:p w14:paraId="3678269B" w14:textId="195256E5"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Enquanto em países desenvolvidos grande parte das tecnologias de tratamento já se encontram implementadas e os resíduos são adequadamente dispostos no solo, nos países em desenvolvimento é grande o número e tipos de barreiras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"10.1016/j.wasman.2012.09.008", "ISSN" : "1879-2456", "PMID" : "23098815", "abstract" : "Solid waste management is a challenge for the cities' authorities in developing countries mainly due to the increasing generation of waste, the burden posed on the municipal budget as a result of the high costs associated to its management, the lack of understanding over a diversity of factors that affect the different stages of waste management and linkages necessary to enable the entire handling system functioning. An analysis of literature on the work done and reported mainly in publications from 2005 to 2011, related to waste management in developing countries, showed that few articles give quantitative information. The analysis was conducted in two of the major scientific journals, Waste Management Journal and Waste Management and Research. The objective of this research was to determine the stakeholders' action/behavior that have a role in the waste management process and to analyze influential factors on the system, in more than thirty urban areas in 22 developing countries in 4 continents. A combination of methods was used in this study in order to assess the stakeholders and the factors influencing the performance of waste management in the cities. Data was collected from scientific literature, existing data bases, observations made during visits to urban areas, structured interviews with relevant professionals, exercises provided to participants in workshops and a questionnaire applied to stakeholders. Descriptive and inferential statistic methods were used to draw conclusions. The outcomes of the research are a comprehensive list of stakeholders that are relevant in the waste management systems and a set of factors that reveal the most important causes for the systems' failure. The information provided is very useful when planning, changing or implementing waste management systems in cities.", "author" : [ { "dropping-particle" : "", "family" : "Guerrero", "given" : "Lilliana Abarca", "non-dropping-particle" : "", "parse-names" : false, "suffix" : "" }, { "dropping-particle" : "", "family" : "Maas", "given" : "Ger", "non-dropping-particle" : "", "parse-names" : false, "suffix" : "" }, { "dropping-particle" : "", "family" : "Hogland", "given" : "William", "non-dropping-particle" : "", "parse-names" : false, "suffix" : "" } ], "container-title" : "Waste management (New York, N.Y.)", "id" : "ITEM-1", "issue" : "1", "issued" : { "date-parts" : [ [ "2013", "1" ] ] }, "page" : "220-32", "title" : "Solid waste management challenges for cities in developing countries.", "type" : "article-journal", "volume" : "33" }, "uris" : [ "http://www.mendeley.com/documents/?uuid=10ec68b4-4ce3-4db9-b870-c9312c1054ce", "http://www.mendeley.com/documents/?uuid=b3edb0c5-a2ab-4bea-a84c-f30214059caa" ] }, { "id" : "ITEM-2", "itemData" : { "DOI" : "10.1016/j.wasman.2016.03.023", "ISSN" : "0956053X", "abstract" : "The aim of this study is to investigate and describe the barriers system that precludes the feasibility, or limits the performance of the waste management projects through the analysis of which are the declared barriers at the 432 large waste management projects registered as CDM during the period 2004\u20132014. The final product is a waste management barriers conceptual model proposal (STAR), supported by literature and corroborated by projects design documents. This paper uses the computer assisted qualitative content analysis (CAQCA) methodology with the qualitative data analysis (QDA) software NVivo\u00ae, by 890 fragments, to investigate the motives to support our conclusions. Results suggest the main barriers classification in five types: sociopolitical, technological, regulatory, financial, and human resources constraints. Results also suggest that beyond the waste management industry, projects have disadvantages added related to the same barriers inherent to others renewable energies initiatives. The STAR model sheds some light over the interactivity and dynamics related to the main constraints of the industry, describing the mutual influences and relationships among each one. Future researches are needed to better and comprehensively understand these relationships and ease the development of tools to alleviate or eliminate them.", "author" : [ { "dropping-particle" : "", "family" : "Bufoni", "given" : "A. L.", "non-dropping-particle" : "", "parse-names" : false, "suffix" : "" }, { "dropping-particle" : "", "family" : "Oliveira", "given" : "L. B.", "non-dropping-particle" : "", "parse-names" : false, "suffix" : "" }, { "dropping-particle" : "", "family" : "Rosa", "given" : "L. P.", "non-dropping-particle" : "", "parse-names" : false, "suffix" : "" } ], "container-title" : "Waste Management", "id" : "ITEM-2", "issue" : "52", "issued" : { "date-parts" : [ [ "2016", "3" ] ] }, "title" : "The declared barriers of the large developing countries waste management projects: The STAR model", "type" : "article-journal" }, "uris" : [ "http://www.mendeley.com/documents/?uuid=c03ffea8-5dd2-45ef-96f5-b73ed3a12b31", "http://www.mendeley.com/documents/?uuid=fe442b81-d694-4ee2-92f9-bb7cc473d113" ] }, { "id" : "ITEM-3", "itemData" : { "DOI" : "10.1016/j.wasman.2012.12.023", "ISSN" : "1879-2456", "PMID" : "23360772", "abstract" : "Solid waste management (SWM) has become an issue of increasing global concern as urban populations continue to rise and consumption patterns change. The health and environmental implications associated with SWM are mounting in urgency, particularly in the context of developing countries. While systems analyses largely targeting well-defined, engineered systems have been used to help SWM agencies in industrialized countries since the 1960s, collection and removal dominate the SWM sector in developing countries. This review contrasts the history and current paradigms of SWM practices and policies in industrialized countries with the current challenges and complexities faced in developing country SWM. In industrialized countries, public health, environment, resource scarcity, climate change, and public awareness and participation have acted as SWM drivers towards the current paradigm of integrated SWM. However, urbanization, inequality, and economic growth; cultural and socio-economic aspects; policy, governance, and institutional issues; and international influences have complicated SWM in developing countries. This has limited the applicability of approaches that were successful along the SWM development trajectories of industrialized countries. This review demonstrates the importance of founding new SWM approaches for developing country contexts in post-normal science and complex, adaptive systems thinking.", "author" : [ { "dropping-particle" : "", "family" : "Marshall", "given" : "Rachael E", "non-dropping-particle" : "", "parse-names" : false, "suffix" : "" }, { "dropping-particle" : "", "family" : "Farahbakhsh", "given" : "Khosrow", "non-dropping-particle" : "", "parse-names" : false, "suffix" : "" } ], "container-title" : "Waste management (New York, N.Y.)", "id" : "ITEM-3", "issue" : "4", "issued" : { "date-parts" : [ [ "2013", "4" ] ] }, "page" : "988-1003", "title" : "Systems approaches to integrated solid waste management in developing countries.", "type" : "article-journal", "volume" : "33" }, "uris" : [ "http://www.mendeley.com/documents/?uuid=dd303d46-5386-412d-bcff-8c20f81e3d7a", "http://www.mendeley.com/documents/?uuid=97d4659b-1e21-4d69-8b14-ac29517dfd94" ] } ], "mendeley" : { "formattedCitation" : "(A. L. Bufoni, Oliveira, &amp; Rosa, 2016; Guerrero, Maas, &amp; Hogland, 2013; Marshall &amp; Farahbakhsh, 2013)", "plainTextFormattedCitation" : "(A. L. Bufoni, Oliveira, &amp; Rosa, 2016; Guerrero, Maas, &amp; Hogland, 2013; Marshall &amp; Farahbakhsh, 2013)", "previouslyFormattedCitation" : "(BUFONI; OLIVEIRA; ROSA, 2016; GUERRERO; MAAS; HOGLAND, 2013; MARSHALL; FARAHBAKHSH, 2013)"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008B4318" w:rsidRPr="00E83BAD">
        <w:rPr>
          <w:rFonts w:ascii="Times New Roman" w:hAnsi="Times New Roman" w:cs="Times New Roman"/>
          <w:noProof/>
          <w:color w:val="212121"/>
          <w:sz w:val="24"/>
          <w:szCs w:val="24"/>
          <w:lang w:val="pt-PT"/>
        </w:rPr>
        <w:t>(BUFONI</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OLIVEIRA</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ROSA, 2016; GUERRERO</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MAAS</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HOGLAND, 2013; MARSHALL</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FARAHBAKHSH, 2013)</w:t>
      </w:r>
      <w:r w:rsidRPr="00E83BAD">
        <w:rPr>
          <w:rFonts w:ascii="Times New Roman" w:hAnsi="Times New Roman" w:cs="Times New Roman"/>
          <w:color w:val="212121"/>
          <w:sz w:val="24"/>
          <w:szCs w:val="24"/>
          <w:lang w:val="pt-PT"/>
        </w:rPr>
        <w:fldChar w:fldCharType="end"/>
      </w:r>
      <w:r w:rsidR="008B4318">
        <w:rPr>
          <w:rFonts w:ascii="Times New Roman" w:hAnsi="Times New Roman" w:cs="Times New Roman"/>
          <w:color w:val="212121"/>
          <w:sz w:val="24"/>
          <w:szCs w:val="24"/>
          <w:lang w:val="pt-PT"/>
        </w:rPr>
        <w:t>.</w:t>
      </w:r>
    </w:p>
    <w:p w14:paraId="3A6DE8E4"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Na Rio + 20, Conferência das Nações Unidas sobre Desenvolvimento </w:t>
      </w:r>
      <w:proofErr w:type="gramStart"/>
      <w:r w:rsidRPr="00E83BAD">
        <w:rPr>
          <w:rFonts w:ascii="Times New Roman" w:hAnsi="Times New Roman" w:cs="Times New Roman"/>
          <w:color w:val="212121"/>
          <w:sz w:val="24"/>
          <w:szCs w:val="24"/>
          <w:lang w:val="pt-PT"/>
        </w:rPr>
        <w:t>Sustentável,  realizada</w:t>
      </w:r>
      <w:proofErr w:type="gramEnd"/>
      <w:r w:rsidRPr="00E83BAD">
        <w:rPr>
          <w:rFonts w:ascii="Times New Roman" w:hAnsi="Times New Roman" w:cs="Times New Roman"/>
          <w:color w:val="212121"/>
          <w:sz w:val="24"/>
          <w:szCs w:val="24"/>
          <w:lang w:val="pt-PT"/>
        </w:rPr>
        <w:t xml:space="preserve"> em 2012, pelo Programa das Nações Unidas, foi solicitado a UNEP (</w:t>
      </w:r>
      <w:r w:rsidRPr="00E83BAD">
        <w:rPr>
          <w:rFonts w:ascii="Times New Roman" w:hAnsi="Times New Roman" w:cs="Times New Roman"/>
          <w:i/>
          <w:iCs/>
          <w:color w:val="222222"/>
          <w:sz w:val="24"/>
          <w:szCs w:val="24"/>
          <w:shd w:val="clear" w:color="auto" w:fill="FFFFFF"/>
        </w:rPr>
        <w:t xml:space="preserve">United </w:t>
      </w:r>
      <w:proofErr w:type="spellStart"/>
      <w:r w:rsidRPr="00E83BAD">
        <w:rPr>
          <w:rFonts w:ascii="Times New Roman" w:hAnsi="Times New Roman" w:cs="Times New Roman"/>
          <w:i/>
          <w:iCs/>
          <w:color w:val="222222"/>
          <w:sz w:val="24"/>
          <w:szCs w:val="24"/>
          <w:shd w:val="clear" w:color="auto" w:fill="FFFFFF"/>
        </w:rPr>
        <w:t>Nations</w:t>
      </w:r>
      <w:proofErr w:type="spellEnd"/>
      <w:r w:rsidRPr="00E83BAD">
        <w:rPr>
          <w:rFonts w:ascii="Times New Roman" w:hAnsi="Times New Roman" w:cs="Times New Roman"/>
          <w:i/>
          <w:iCs/>
          <w:color w:val="222222"/>
          <w:sz w:val="24"/>
          <w:szCs w:val="24"/>
          <w:shd w:val="clear" w:color="auto" w:fill="FFFFFF"/>
        </w:rPr>
        <w:t xml:space="preserve"> </w:t>
      </w:r>
      <w:proofErr w:type="spellStart"/>
      <w:r w:rsidRPr="00E83BAD">
        <w:rPr>
          <w:rFonts w:ascii="Times New Roman" w:hAnsi="Times New Roman" w:cs="Times New Roman"/>
          <w:i/>
          <w:iCs/>
          <w:color w:val="222222"/>
          <w:sz w:val="24"/>
          <w:szCs w:val="24"/>
          <w:shd w:val="clear" w:color="auto" w:fill="FFFFFF"/>
        </w:rPr>
        <w:t>Environment</w:t>
      </w:r>
      <w:proofErr w:type="spellEnd"/>
      <w:r w:rsidRPr="00E83BAD">
        <w:rPr>
          <w:rFonts w:ascii="Times New Roman" w:hAnsi="Times New Roman" w:cs="Times New Roman"/>
          <w:i/>
          <w:iCs/>
          <w:color w:val="222222"/>
          <w:sz w:val="24"/>
          <w:szCs w:val="24"/>
          <w:shd w:val="clear" w:color="auto" w:fill="FFFFFF"/>
        </w:rPr>
        <w:t xml:space="preserve"> </w:t>
      </w:r>
      <w:proofErr w:type="spellStart"/>
      <w:r w:rsidRPr="00E83BAD">
        <w:rPr>
          <w:rFonts w:ascii="Times New Roman" w:hAnsi="Times New Roman" w:cs="Times New Roman"/>
          <w:i/>
          <w:iCs/>
          <w:color w:val="222222"/>
          <w:sz w:val="24"/>
          <w:szCs w:val="24"/>
          <w:shd w:val="clear" w:color="auto" w:fill="FFFFFF"/>
        </w:rPr>
        <w:t>Programme</w:t>
      </w:r>
      <w:proofErr w:type="spellEnd"/>
      <w:r w:rsidRPr="00E83BAD">
        <w:rPr>
          <w:rFonts w:ascii="Times New Roman" w:hAnsi="Times New Roman" w:cs="Times New Roman"/>
          <w:color w:val="212121"/>
          <w:sz w:val="24"/>
          <w:szCs w:val="24"/>
          <w:lang w:val="pt-PT"/>
        </w:rPr>
        <w:t>): "Desenvolver uma visão global de desafios, tendências e políticas em relação a prevenção, minimização e gestão de resíduos [...] para fornecer orientação para o planejamento da política nacional ".</w:t>
      </w:r>
    </w:p>
    <w:p w14:paraId="513AFAFD" w14:textId="4D0A33DE" w:rsidR="00FA1C0A" w:rsidRPr="00E83BAD" w:rsidRDefault="009A552F" w:rsidP="00FA1C0A">
      <w:pPr>
        <w:pStyle w:val="HTMLPreformatted"/>
        <w:shd w:val="clear" w:color="auto" w:fill="FFFFFF"/>
        <w:rPr>
          <w:rFonts w:ascii="Times New Roman" w:hAnsi="Times New Roman" w:cs="Times New Roman"/>
          <w:color w:val="212121"/>
          <w:sz w:val="24"/>
          <w:szCs w:val="24"/>
        </w:rPr>
      </w:pPr>
      <w:r w:rsidRPr="00E83BAD">
        <w:rPr>
          <w:rFonts w:ascii="Times New Roman" w:hAnsi="Times New Roman" w:cs="Times New Roman"/>
          <w:color w:val="212121"/>
          <w:sz w:val="24"/>
          <w:szCs w:val="24"/>
          <w:lang w:val="pt-PT"/>
        </w:rPr>
        <w:t xml:space="preserve">Em </w:t>
      </w:r>
      <w:r w:rsidRPr="00E83BAD">
        <w:rPr>
          <w:rFonts w:ascii="Times New Roman" w:hAnsi="Times New Roman" w:cs="Times New Roman"/>
          <w:color w:val="000000"/>
          <w:sz w:val="24"/>
          <w:szCs w:val="24"/>
          <w:lang w:val="pt-PT"/>
        </w:rPr>
        <w:t xml:space="preserve">2015, a UNEP desenvolveu o </w:t>
      </w:r>
      <w:r w:rsidRPr="00E83BAD">
        <w:rPr>
          <w:rFonts w:ascii="Times New Roman" w:hAnsi="Times New Roman" w:cs="Times New Roman"/>
          <w:i/>
          <w:color w:val="000000"/>
          <w:sz w:val="24"/>
          <w:szCs w:val="24"/>
        </w:rPr>
        <w:t xml:space="preserve">Global </w:t>
      </w:r>
      <w:proofErr w:type="spellStart"/>
      <w:r w:rsidRPr="00E83BAD">
        <w:rPr>
          <w:rFonts w:ascii="Times New Roman" w:hAnsi="Times New Roman" w:cs="Times New Roman"/>
          <w:i/>
          <w:color w:val="000000"/>
          <w:sz w:val="24"/>
          <w:szCs w:val="24"/>
        </w:rPr>
        <w:t>Waste</w:t>
      </w:r>
      <w:proofErr w:type="spellEnd"/>
      <w:r w:rsidRPr="00E83BAD">
        <w:rPr>
          <w:rFonts w:ascii="Times New Roman" w:hAnsi="Times New Roman" w:cs="Times New Roman"/>
          <w:i/>
          <w:color w:val="000000"/>
          <w:sz w:val="24"/>
          <w:szCs w:val="24"/>
        </w:rPr>
        <w:t xml:space="preserve"> Management Outlook</w:t>
      </w:r>
      <w:r w:rsidRPr="00E83BAD">
        <w:rPr>
          <w:rFonts w:ascii="Times New Roman" w:hAnsi="Times New Roman" w:cs="Times New Roman"/>
          <w:color w:val="000000"/>
          <w:sz w:val="24"/>
          <w:szCs w:val="24"/>
        </w:rPr>
        <w:t xml:space="preserve"> (GWMO) que </w:t>
      </w:r>
      <w:r w:rsidRPr="00E83BAD">
        <w:rPr>
          <w:rFonts w:ascii="Times New Roman" w:hAnsi="Times New Roman" w:cs="Times New Roman"/>
          <w:color w:val="212121"/>
          <w:sz w:val="24"/>
          <w:szCs w:val="24"/>
          <w:lang w:val="pt-PT"/>
        </w:rPr>
        <w:t xml:space="preserve">foi a primeira avaliação abrangente, imparcial e aprofundada da gestão global de resíduos. Ainda no ano de 2015, Wilson e Velis, concluíram que a gestão de resíduos é um serviço de utilidade chave e um elemento crítico da infraestrutura que sustenta a sociedade, e classificada no topo </w:t>
      </w:r>
      <w:proofErr w:type="gramStart"/>
      <w:r w:rsidRPr="00E83BAD">
        <w:rPr>
          <w:rFonts w:ascii="Times New Roman" w:hAnsi="Times New Roman" w:cs="Times New Roman"/>
          <w:color w:val="212121"/>
          <w:sz w:val="24"/>
          <w:szCs w:val="24"/>
          <w:lang w:val="pt-PT"/>
        </w:rPr>
        <w:t>da três prioridades enfrentadas</w:t>
      </w:r>
      <w:proofErr w:type="gramEnd"/>
      <w:r w:rsidRPr="00E83BAD">
        <w:rPr>
          <w:rFonts w:ascii="Times New Roman" w:hAnsi="Times New Roman" w:cs="Times New Roman"/>
          <w:color w:val="212121"/>
          <w:sz w:val="24"/>
          <w:szCs w:val="24"/>
          <w:lang w:val="pt-PT"/>
        </w:rPr>
        <w:t xml:space="preserve"> pelas cidades dos países em desenvolvimento. Apesar das tecnologias necessárias para resolver o problema já estarem em grande parte disponíveis, o assunto não recebe a mesma atenção da agenda política, relegada sempre que está, a segundo plano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"10.1177/0734242X15616055", "ISSN" : "1096-3669", "PMID" : "26574579", "author" : [ { "dropping-particle" : "", "family" : "Wilson", "given" : "David C", "non-dropping-particle" : "", "parse-names" : false, "suffix" : "" }, { "dropping-particle" : "", "family" : "Velis", "given" : "Costas A", "non-dropping-particle" : "", "parse-names" : false, "suffix" : "" } ], "container-title" : "Waste management &amp; research : the journal of the International Solid Wastes and Public Cleansing Association, ISWA", "id" : "ITEM-1", "issue" : "12", "issued" : { "date-parts" : [ [ "2015", "12" ] ] }, "page" : "1049-51", "title" : "Waste management - still a global challenge in the 21st century: An evidence-based call for action.", "type" : "article-journal", "volume" : "33" }, "uris" : [ "http://www.mendeley.com/documents/?uuid=04d751be-527f-49cb-bcc7-dacb3f0b2a1b", "http://www.mendeley.com/documents/?uuid=a1e6c911-e6ed-4a81-becc-39d2c1133d25" ] }, { "id" : "ITEM-2", "itemData" : { "DOI" : "10.1016/j.wasman.2012.12.023", "ISSN" : "1879-2456", "PMID" : "23360772", "abstract" : "Solid waste management (SWM) has become an issue of increasing global concern as urban populations continue to rise and consumption patterns change. The health and environmental implications associated with SWM are mounting in urgency, particularly in the context of developing countries. While systems analyses largely targeting well-defined, engineered systems have been used to help SWM agencies in industrialized countries since the 1960s, collection and removal dominate the SWM sector in developing countries. This review contrasts the history and current paradigms of SWM practices and policies in industrialized countries with the current challenges and complexities faced in developing country SWM. In industrialized countries, public health, environment, resource scarcity, climate change, and public awareness and participation have acted as SWM drivers towards the current paradigm of integrated SWM. However, urbanization, inequality, and economic growth; cultural and socio-economic aspects; policy, governance, and institutional issues; and international influences have complicated SWM in developing countries. This has limited the applicability of approaches that were successful along the SWM development trajectories of industrialized countries. This review demonstrates the importance of founding new SWM approaches for developing country contexts in post-normal science and complex, adaptive systems thinking.", "author" : [ { "dropping-particle" : "", "family" : "Marshall", "given" : "Rachael E", "non-dropping-particle" : "", "parse-names" : false, "suffix" : "" }, { "dropping-particle" : "", "family" : "Farahbakhsh", "given" : "Khosrow", "non-dropping-particle" : "", "parse-names" : false, "suffix" : "" } ], "container-title" : "Waste management (New York, N.Y.)", "id" : "ITEM-2", "issue" : "4", "issued" : { "date-parts" : [ [ "2013", "4" ] ] }, "page" : "988-1003", "title" : "Systems approaches to integrated solid waste management in developing countries.", "type" : "article-journal", "volume" : "33" }, "uris" : [ "http://www.mendeley.com/documents/?uuid=97d4659b-1e21-4d69-8b14-ac29517dfd94", "http://www.mendeley.com/documents/?uuid=dd303d46-5386-412d-bcff-8c20f81e3d7a", "http://www.mendeley.com/documents/?uuid=06a4f7ac-2e14-4d58-8b16-8ad0feb9138d" ] } ], "mendeley" : { "formattedCitation" : "(Marshall &amp; Farahbakhsh, 2013; Wilson &amp; Velis, 2015)", "plainTextFormattedCitation" : "(Marshall &amp; Farahbakhsh, 2013; Wilson &amp; Velis, 2015)", "previouslyFormattedCitation" : "(MARSHALL; FARAHBAKHSH, 2013; WILSON; VELIS, 2015)"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MARSHALL</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FARAHBAKHSH</w:t>
      </w:r>
      <w:r w:rsidRPr="00E83BAD">
        <w:rPr>
          <w:rFonts w:ascii="Times New Roman" w:hAnsi="Times New Roman" w:cs="Times New Roman"/>
          <w:noProof/>
          <w:color w:val="212121"/>
          <w:sz w:val="24"/>
          <w:szCs w:val="24"/>
          <w:lang w:val="pt-PT"/>
        </w:rPr>
        <w:t xml:space="preserve">, 2013; </w:t>
      </w:r>
      <w:r w:rsidR="008B4318" w:rsidRPr="00E83BAD">
        <w:rPr>
          <w:rFonts w:ascii="Times New Roman" w:hAnsi="Times New Roman" w:cs="Times New Roman"/>
          <w:noProof/>
          <w:color w:val="212121"/>
          <w:sz w:val="24"/>
          <w:szCs w:val="24"/>
          <w:lang w:val="pt-PT"/>
        </w:rPr>
        <w:t>WILSON</w:t>
      </w:r>
      <w:r w:rsidR="008B4318">
        <w:rPr>
          <w:rFonts w:ascii="Times New Roman" w:hAnsi="Times New Roman" w:cs="Times New Roman"/>
          <w:noProof/>
          <w:color w:val="212121"/>
          <w:sz w:val="24"/>
          <w:szCs w:val="24"/>
          <w:lang w:val="pt-PT"/>
        </w:rPr>
        <w:t xml:space="preserve">; </w:t>
      </w:r>
      <w:r w:rsidR="008B4318" w:rsidRPr="00E83BAD">
        <w:rPr>
          <w:rFonts w:ascii="Times New Roman" w:hAnsi="Times New Roman" w:cs="Times New Roman"/>
          <w:noProof/>
          <w:color w:val="212121"/>
          <w:sz w:val="24"/>
          <w:szCs w:val="24"/>
          <w:lang w:val="pt-PT"/>
        </w:rPr>
        <w:t>VELIS</w:t>
      </w:r>
      <w:r w:rsidRPr="00E83BAD">
        <w:rPr>
          <w:rFonts w:ascii="Times New Roman" w:hAnsi="Times New Roman" w:cs="Times New Roman"/>
          <w:noProof/>
          <w:color w:val="212121"/>
          <w:sz w:val="24"/>
          <w:szCs w:val="24"/>
          <w:lang w:val="pt-PT"/>
        </w:rPr>
        <w:t>, 2015)</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w:t>
      </w:r>
      <w:r w:rsidR="00FA1C0A">
        <w:rPr>
          <w:rFonts w:ascii="Times New Roman" w:hAnsi="Times New Roman" w:cs="Times New Roman"/>
          <w:color w:val="212121"/>
          <w:sz w:val="24"/>
          <w:szCs w:val="24"/>
          <w:lang w:val="pt-PT"/>
        </w:rPr>
        <w:t xml:space="preserve"> </w:t>
      </w:r>
      <w:r w:rsidR="00FA1C0A" w:rsidRPr="00E83BAD">
        <w:rPr>
          <w:rFonts w:ascii="Times New Roman" w:hAnsi="Times New Roman" w:cs="Times New Roman"/>
          <w:color w:val="212121"/>
          <w:sz w:val="24"/>
          <w:szCs w:val="24"/>
          <w:lang w:val="pt-PT"/>
        </w:rPr>
        <w:t xml:space="preserve">Para o </w:t>
      </w:r>
      <w:r w:rsidR="00FA1C0A" w:rsidRPr="00E83BAD">
        <w:rPr>
          <w:rFonts w:ascii="Times New Roman" w:hAnsi="Times New Roman" w:cs="Times New Roman"/>
          <w:i/>
          <w:color w:val="212121"/>
          <w:sz w:val="24"/>
          <w:szCs w:val="24"/>
          <w:lang w:val="pt-PT"/>
        </w:rPr>
        <w:t>Intergovernmental Panel on Climate Change</w:t>
      </w:r>
      <w:r w:rsidR="00FA1C0A" w:rsidRPr="00E83BAD">
        <w:rPr>
          <w:rFonts w:ascii="Times New Roman" w:hAnsi="Times New Roman" w:cs="Times New Roman"/>
          <w:color w:val="212121"/>
          <w:sz w:val="24"/>
          <w:szCs w:val="24"/>
          <w:lang w:val="pt-PT"/>
        </w:rPr>
        <w:t xml:space="preserve"> (IPCC) os resíduos animais são um dos resíduos agrícolas com maior potencial de emissões de gases de efeito estufa, mas o que possue também mais alternativas de tratamento conhecidas </w:t>
      </w:r>
      <w:r w:rsidR="00FA1C0A" w:rsidRPr="00E83BAD">
        <w:rPr>
          <w:rFonts w:ascii="Times New Roman" w:hAnsi="Times New Roman" w:cs="Times New Roman"/>
          <w:color w:val="212121"/>
          <w:sz w:val="24"/>
          <w:szCs w:val="24"/>
        </w:rPr>
        <w:fldChar w:fldCharType="begin" w:fldLock="1"/>
      </w:r>
      <w:r w:rsidR="00FA1C0A" w:rsidRPr="00E83BAD">
        <w:rPr>
          <w:rFonts w:ascii="Times New Roman" w:hAnsi="Times New Roman" w:cs="Times New Roman"/>
          <w:color w:val="212121"/>
          <w:sz w:val="24"/>
          <w:szCs w:val="24"/>
        </w:rPr>
        <w:instrText>ADDIN CSL_CITATION { "citationItems" : [ { "id" : "ITEM-1", "itemData" : { "author" : [ { "dropping-particle" : "", "family" : "IPCC", "given" : "", "non-dropping-particle" : "", "parse-names" : false, "suffix" : "" } ], "container-title" : "2006 IPCC Guidelines for  National Greenhouse Gas Inventories Volume 4 Agriculture, Forestry and Other Land Use", "id" : "ITEM-1", "issued" : { "date-parts" : [ [ "2017" ] ] }, "title" : "IPCC - Task Force on National Greenhouse Gas Inventories", "type" : "webpage" }, "uris" : [ "http://www.mendeley.com/documents/?uuid=e0ee8106-fd98-3499-9843-6c815733124d", "http://www.mendeley.com/documents/?uuid=9b228618-40e8-4ce7-96c5-6b6e129d23e5" ] } ], "mendeley" : { "formattedCitation" : "(IPCC, 2017)", "plainTextFormattedCitation" : "(IPCC, 2017)", "previouslyFormattedCitation" : "(IPCC, 2017)" }, "properties" : {  }, "schema" : "https://github.com/citation-style-language/schema/raw/master/csl-citation.json" }</w:instrText>
      </w:r>
      <w:r w:rsidR="00FA1C0A" w:rsidRPr="00E83BAD">
        <w:rPr>
          <w:rFonts w:ascii="Times New Roman" w:hAnsi="Times New Roman" w:cs="Times New Roman"/>
          <w:color w:val="212121"/>
          <w:sz w:val="24"/>
          <w:szCs w:val="24"/>
        </w:rPr>
        <w:fldChar w:fldCharType="separate"/>
      </w:r>
      <w:r w:rsidR="00FA1C0A" w:rsidRPr="00E83BAD">
        <w:rPr>
          <w:rFonts w:ascii="Times New Roman" w:hAnsi="Times New Roman" w:cs="Times New Roman"/>
          <w:noProof/>
          <w:color w:val="212121"/>
          <w:sz w:val="24"/>
          <w:szCs w:val="24"/>
        </w:rPr>
        <w:t>(IPCC, 2017)</w:t>
      </w:r>
      <w:r w:rsidR="00FA1C0A" w:rsidRPr="00E83BAD">
        <w:rPr>
          <w:rFonts w:ascii="Times New Roman" w:hAnsi="Times New Roman" w:cs="Times New Roman"/>
          <w:color w:val="212121"/>
          <w:sz w:val="24"/>
          <w:szCs w:val="24"/>
        </w:rPr>
        <w:fldChar w:fldCharType="end"/>
      </w:r>
      <w:r w:rsidR="00FA1C0A" w:rsidRPr="00E83BAD">
        <w:rPr>
          <w:rFonts w:ascii="Times New Roman" w:hAnsi="Times New Roman" w:cs="Times New Roman"/>
          <w:color w:val="212121"/>
          <w:sz w:val="24"/>
          <w:szCs w:val="24"/>
        </w:rPr>
        <w:t xml:space="preserve">. </w:t>
      </w:r>
    </w:p>
    <w:p w14:paraId="132C64DF" w14:textId="14660A92"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O mesmo parece acontecer com a atenção da academia, em que estudos indicam que pouca atenção é dada aos aspectos financeiros dos projetos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"10.1177/0734242X14535653", "ISSN" : "1399-3070", "PMID" : "24895080", "abstract" : "Assessment methods are common tools to support decisions regarding waste management. The objective of this review article is to provide guidance for the selection of appropriate evaluation methods. For this purpose, frequently used assessment methods are reviewed, categorised, and summarised. In total, 151 studies have been considered in view of their goals, methodologies, systems investigated, and results regarding economic, environmental, and social issues. A goal shared by all studies is the support of stakeholders. Most studies are based on life cycle assessments, multi-criteria-decision-making, cost-benefit analysis, risk assessments, and benchmarking. Approximately 40% of the reviewed articles are life cycle assessment-based; and more than 50% apply scenario analysis to identify the best waste management options. Most studies focus on municipal solid waste and consider specific environmental loadings. Economic aspects are considered by approximately 50% of the studies, and only a small number evaluate social aspects. The choice of system elements and boundaries varies significantly among the studies; thus, assessment results are sometimes contradictory. Based on the results of this review, we recommend the following considerations when assessing waste management systems: (i) a mass balance approach based on a rigid input-output analysis of the entire system, (ii) a goal-oriented evaluation of the results of the mass balance, which takes into account the intended waste management objectives; and (iii) a transparent and reproducible presentation of the methodology, data, and results.", "author" : [ { "dropping-particle" : "", "family" : "Allesch", "given" : "Astrid", "non-dropping-particle" : "", "parse-names" : false, "suffix" : "" }, { "dropping-particle" : "", "family" : "Brunner", "given" : "Paul H", "non-dropping-particle" : "", "parse-names" : false, "suffix" : "" } ], "container-title" : "Waste management &amp; research : the journal of the International Solid Wastes and Public Cleansing Association, ISWA", "id" : "ITEM-1", "issue" : "6", "issued" : { "date-parts" : [ [ "2014" ] ] }, "page" : "461-473", "title" : "Assessment methods for solid waste management: A literature review.", "type" : "article-journal", "volume" : "32" }, "uris" : [ "http://www.mendeley.com/documents/?uuid=ebce563c-4f9b-4578-bbca-585c9542308d", "http://www.mendeley.com/documents/?uuid=be62bcd4-c0d7-4c97-864d-b156157c5328" ] }, { "id" : "ITEM-2", "itemData" : { "DOI" : "10.1177/0734242X14537868", "ISSN" : "1399-3070", "PMID" : "24938296", "abstract" : "Rapid economic growth, urbanization and increasing population have caused (materially intensive) resource consumption to increase, and consequently the release of large amounts of waste to the environment. From a global perspective, current waste and resource management lacks a holistic approach covering the whole chain of product design, raw material extraction, production, consumption, recycling and waste management. In this article, progress and different sustainability challenges facing the global waste management system are presented and discussed. The study leads to the conclusion that the current, rather isolated efforts, in different systems for waste management, waste reduction and resource management are indeed not sufficient in a long term sustainability perspective. In the future, to manage resources and wastes sustainably, waste management requires a more systems-oriented approach that addresses the root causes for the problems. A specific issue to address is the development of improved feedback information (statistics) on how waste generation is linked to consumption.", "author" : [ { "dropping-particle" : "", "family" : "Singh", "given" : "Jagdeep", "non-dropping-particle" : "", "parse-names" : false, "suffix" : "" }, { "dropping-particle" : "", "family" : "Laurenti", "given" : "Rafael", "non-dropping-particle" : "", "parse-names" : false, "suffix" : "" }, { "dropping-particle" : "", "family" : "Sinha", "given" : "Rajib", "non-dropping-particle" : "", "parse-names" : false, "suffix" : "" }, { "dropping-particle" : "", "family" : "Frostell", "given" : "Bj\u00f6rn", "non-dropping-particle" : "", "parse-names" : false, "suffix" : "" } ], "container-title" : "Waste management &amp; research : the journal of the International Solid Wastes and Public Cleansing Association, ISWA", "id" : "ITEM-2", "issue" : "9", "issued" : { "date-parts" : [ [ "2014", "9" ] ] }, "page" : "800-812", "title" : "Progress and challenges to the global waste management system.", "type" : "article-journal", "volume" : "32" }, "uris" : [ "http://www.mendeley.com/documents/?uuid=d5a4b37f-fdda-400a-a7e9-8dbde306d2d4", "http://www.mendeley.com/documents/?uuid=9d69caee-9ce7-4dfa-bf9c-a2269834759b" ] } ], "mendeley" : { "formattedCitation" : "(Allesch &amp; Brunner, 2014; Singh, Laurenti, Sinha, &amp; Frostell, 2014)", "plainTextFormattedCitation" : "(Allesch &amp; Brunner, 2014; Singh, Laurenti, Sinha, &amp; Frostell, 2014)", "previouslyFormattedCitation" : "(ALLESCH; BRUNNER, 2014; SINGH et al., 2014)"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008B4318" w:rsidRPr="00E83BAD">
        <w:rPr>
          <w:rFonts w:ascii="Times New Roman" w:hAnsi="Times New Roman" w:cs="Times New Roman"/>
          <w:noProof/>
          <w:color w:val="212121"/>
          <w:sz w:val="24"/>
          <w:szCs w:val="24"/>
          <w:lang w:val="pt-PT"/>
        </w:rPr>
        <w:t>(ALLESCH</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BRUNNER, 2014; SINGH</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LAURENTI</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SINHA</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FROSTELL,</w:t>
      </w:r>
      <w:r w:rsidRPr="00E83BAD">
        <w:rPr>
          <w:rFonts w:ascii="Times New Roman" w:hAnsi="Times New Roman" w:cs="Times New Roman"/>
          <w:noProof/>
          <w:color w:val="212121"/>
          <w:sz w:val="24"/>
          <w:szCs w:val="24"/>
          <w:lang w:val="pt-PT"/>
        </w:rPr>
        <w:t xml:space="preserve"> 2014)</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Em países em desenvolvimento persiste ainda a </w:t>
      </w:r>
      <w:r w:rsidRPr="00E83BAD">
        <w:rPr>
          <w:rFonts w:ascii="Times New Roman" w:hAnsi="Times New Roman" w:cs="Times New Roman"/>
          <w:color w:val="212121"/>
          <w:sz w:val="24"/>
          <w:szCs w:val="24"/>
          <w:lang w:val="pt-PT"/>
        </w:rPr>
        <w:lastRenderedPageBreak/>
        <w:t xml:space="preserve">dificuldade de encontrar robustas e confiáveis bases de dados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"10.1007/s10163-004-0116-z", "ISSN" : "1438-4957", "author" : [ { "dropping-particle" : "", "family" : "Inanc", "given" : "Bulent", "non-dropping-particle" : "", "parse-names" : false, "suffix" : "" }, { "dropping-particle" : "", "family" : "Idris", "given" : "Azni", "non-dropping-particle" : "", "parse-names" : false, "suffix" : "" }, { "dropping-particle" : "", "family" : "Terazono", "given" : "Atsushi", "non-dropping-particle" : "", "parse-names" : false, "suffix" : "" }, { "dropping-particle" : "", "family" : "Sakai", "given" : "Shin-ichi", "non-dropping-particle" : "", "parse-names" : false, "suffix" : "" } ], "container-title" : "Journal of Material Cycles and Waste Management", "id" : "ITEM-1", "issue" : "2", "issued" : { "date-parts" : [ [ "2004", "9" ] ] }, "title" : "Development of a database of landfills and dump sites in Asian countries", "type" : "article-journal", "volume" : "6" }, "uris" : [ "http://www.mendeley.com/documents/?uuid=3048d516-1adc-402f-9b35-788badad3157", "http://www.mendeley.com/documents/?uuid=c4699c71-1ecf-47d9-b0f9-82dc08236677" ] } ], "mendeley" : { "formattedCitation" : "(Inanc, Idris, Terazono, &amp; Sakai, 2004)", "plainTextFormattedCitation" : "(Inanc, Idris, Terazono, &amp; Sakai, 2004)", "previouslyFormattedCitation" : "(INANC et al., 2004)"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INANC</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IDRIS</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TERAZONO</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SAKAI</w:t>
      </w:r>
      <w:r w:rsidRPr="00E83BAD">
        <w:rPr>
          <w:rFonts w:ascii="Times New Roman" w:hAnsi="Times New Roman" w:cs="Times New Roman"/>
          <w:noProof/>
          <w:color w:val="212121"/>
          <w:sz w:val="24"/>
          <w:szCs w:val="24"/>
          <w:lang w:val="pt-PT"/>
        </w:rPr>
        <w:t>, 2004)</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Daí o fato da UNEP declarar recentemente que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"10.1177/0734242X15616055", "ISBN" : "9789280734799", "abstract" : "In solid waste management there is no throwing 'away' The organic fraction of waste, collection vehicles, and waste disposal methods contribute to GHG emissions The last two decades have brought a new challenge for waste management: the growing vagaries of global secondary materials markets. In solid waste management there is no 'away'. When 'throwing away' waste, system complex-ities and the integrated nature of materials and pollution are quickly apparent. For example, waste incineration is expensive and poses challenges of air pollution and ash disposal. Incineration requires waste placed outside for collection to be containerized to stay dry, and much of the waste stream is not combustible. Landfills require land availability, and siting is often opposed by potential neighboring residents. Solving one problem often introduces a new one, and if not well executed, the new problem is often of greater cost and complexity.", "author" : [ { "dropping-particle" : "", "family" : "UNEP", "given" : "", "non-dropping-particle" : "", "parse-names" : false, "suffix" : "" } ], "id" : "ITEM-1", "issued" : { "date-parts" : [ [ "2015" ] ] }, "number-of-pages" : "4-7", "title" : "Global Waste Management Outlook", "type" : "book" }, "uris" : [ "http://www.mendeley.com/documents/?uuid=eddeb806-4ac6-4812-9a98-195f14f7e7cc" ] } ], "mendeley" : { "formattedCitation" : "(UNEP, 2015)", "plainTextFormattedCitation" : "(UNEP, 2015)", "previouslyFormattedCitation" : "(UNEP, 2015, p. 204)"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(UNEP, 2015)</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w:t>
      </w:r>
    </w:p>
    <w:p w14:paraId="29268898" w14:textId="77777777" w:rsidR="009A552F" w:rsidRPr="00E83BAD" w:rsidRDefault="009A552F" w:rsidP="00E83BAD">
      <w:pPr>
        <w:pStyle w:val="HTMLPreformatted"/>
        <w:shd w:val="clear" w:color="auto" w:fill="FFFFFF"/>
        <w:ind w:left="2268" w:firstLine="0"/>
        <w:rPr>
          <w:rFonts w:ascii="Times New Roman" w:hAnsi="Times New Roman" w:cs="Times New Roman"/>
          <w:color w:val="212121"/>
          <w:sz w:val="24"/>
          <w:szCs w:val="24"/>
        </w:rPr>
      </w:pPr>
      <w:r w:rsidRPr="00E83BAD">
        <w:rPr>
          <w:rFonts w:ascii="Times New Roman" w:hAnsi="Times New Roman" w:cs="Times New Roman"/>
          <w:color w:val="212121"/>
          <w:sz w:val="24"/>
          <w:szCs w:val="24"/>
          <w:lang w:val="pt-PT"/>
        </w:rPr>
        <w:t>Compreender os custos financeiros e econômicos da gestão de resíduos continua sendo um desafio global. As soluções de gerenciamento sustentável de resíduos precisam de uma base de evidências econômicas confiáveis, e é necessário fazer muito mais trabalho, tanto a nível mundial como em particular nos países em desenvolvimento.</w:t>
      </w:r>
    </w:p>
    <w:p w14:paraId="4652F0EE" w14:textId="77777777" w:rsidR="009A552F" w:rsidRPr="00E83BAD" w:rsidRDefault="009A552F" w:rsidP="00E83BAD">
      <w:pPr>
        <w:autoSpaceDE w:val="0"/>
        <w:autoSpaceDN w:val="0"/>
        <w:adjustRightInd w:val="0"/>
        <w:ind w:firstLine="709"/>
        <w:jc w:val="both"/>
      </w:pPr>
      <w:r w:rsidRPr="00E83BAD">
        <w:t xml:space="preserve">Sobre este assunto, Bufoni e Ferreira </w:t>
      </w:r>
      <w:r w:rsidRPr="00E83BAD">
        <w:fldChar w:fldCharType="begin" w:fldLock="1"/>
      </w:r>
      <w:r w:rsidRPr="00E83BAD">
        <w:instrText>ADDIN CSL_CITATION { "citationItems" : [ { "id" : "ITEM-1", "itemData" : { "author" : [ { "dropping-particle" : "", "family" : "Bufoni", "given" : "Andr\u00e9 Luiz", "non-dropping-particle" : "", "parse-names" : false, "suffix" : "" }, { "dropping-particle" : "", "family" : "Ferreira", "given" : "Araceli Cristina de Souza", "non-dropping-particle" : "", "parse-names" : false, "suffix" : "" } ], "id" : "ITEM-1", "issue" : "November", "issued" : { "date-parts" : [ [ "2016" ] ] }, "title" : "The Quality of Carbon Management Accounting Reporting as a Financial Barrier to Clean Development Mechanism ...", "type" : "article-journal" }, "suppress-author" : 1, "uris" : [ "http://www.mendeley.com/documents/?uuid=74a09b54-81cf-4d7a-83d3-33938230c787", "http://www.mendeley.com/documents/?uuid=91f29f0e-09ec-447e-bf44-9bdcea3f2e57" ] } ], "mendeley" : { "formattedCitation" : "(2016)", "plainTextFormattedCitation" : "(2016)", "previouslyFormattedCitation" : "(2016)" }, "properties" : {  }, "schema" : "https://github.com/citation-style-language/schema/raw/master/csl-citation.json" }</w:instrText>
      </w:r>
      <w:r w:rsidRPr="00E83BAD">
        <w:fldChar w:fldCharType="separate"/>
      </w:r>
      <w:r w:rsidRPr="00E83BAD">
        <w:rPr>
          <w:noProof/>
        </w:rPr>
        <w:t>(2016)</w:t>
      </w:r>
      <w:r w:rsidRPr="00E83BAD">
        <w:fldChar w:fldCharType="end"/>
      </w:r>
      <w:r w:rsidRPr="00E83BAD">
        <w:t>, investigaram a qualidade dos relatórios financeiros dos projetos de “manuseamento e eliminação de resíduos” registrados como MDL, e encontraram em suas análises indícios de falta de qualidade das informações. Entretanto, tal estudo incorpora 432 projetos de 7 tipos diferentes de tecnologias de tratamento de resíduos (indústrias). Em suma, o estudo é genérico para a gestão de resíduos, sendo a hipótese desta pesquisa direcionada especificamente para a gestão de resíduos animal descritos na parte correspondente a seguir.</w:t>
      </w:r>
    </w:p>
    <w:p w14:paraId="76F1BFC3" w14:textId="77777777" w:rsidR="009A552F" w:rsidRPr="00E83BAD" w:rsidRDefault="009A552F" w:rsidP="00E83BAD">
      <w:pPr>
        <w:autoSpaceDE w:val="0"/>
        <w:autoSpaceDN w:val="0"/>
        <w:adjustRightInd w:val="0"/>
        <w:ind w:firstLine="709"/>
        <w:jc w:val="both"/>
      </w:pPr>
    </w:p>
    <w:p w14:paraId="33568BDC" w14:textId="77777777" w:rsidR="009A552F" w:rsidRPr="00E83BAD" w:rsidRDefault="009A552F" w:rsidP="00E83BAD">
      <w:pPr>
        <w:pStyle w:val="Heading2"/>
        <w:numPr>
          <w:ilvl w:val="1"/>
          <w:numId w:val="1"/>
        </w:numPr>
        <w:spacing w:before="0" w:line="240" w:lineRule="auto"/>
        <w:ind w:left="0" w:firstLine="709"/>
        <w:rPr>
          <w:szCs w:val="24"/>
        </w:rPr>
      </w:pPr>
      <w:r w:rsidRPr="00E83BAD">
        <w:rPr>
          <w:szCs w:val="24"/>
        </w:rPr>
        <w:t>Projetos de Mecanismos de Desenvolvimento Limpo (MDL)</w:t>
      </w:r>
    </w:p>
    <w:p w14:paraId="1A403FAE"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Os Mecanismos de Desenvolvimento Limpo (MDL) – </w:t>
      </w:r>
      <w:r w:rsidRPr="00E83BAD">
        <w:rPr>
          <w:rFonts w:ascii="Times New Roman" w:hAnsi="Times New Roman" w:cs="Times New Roman"/>
          <w:i/>
          <w:color w:val="212121"/>
          <w:sz w:val="24"/>
          <w:szCs w:val="24"/>
          <w:lang w:val="pt-PT"/>
        </w:rPr>
        <w:t>Clean Development Mechanism</w:t>
      </w:r>
      <w:r w:rsidRPr="00E83BAD">
        <w:rPr>
          <w:rFonts w:ascii="Times New Roman" w:hAnsi="Times New Roman" w:cs="Times New Roman"/>
          <w:color w:val="212121"/>
          <w:sz w:val="24"/>
          <w:szCs w:val="24"/>
          <w:lang w:val="pt-PT"/>
        </w:rPr>
        <w:t xml:space="preserve"> (CDM) – são mecanismos de cooperação estabelecidos no âmbito do Protocolo de Kyoto. De acordo com a UNFCCC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"UNFCCC", "given" : "", "non-dropping-particle" : "", "parse-names" : false, "suffix" : "" } ], "id" : "ITEM-1", "issued" : { "date-parts" : [ [ "2015" ] ] }, "title" : "CDM: About CDM", "type" : "webpage" }, "uris" : [ "http://www.mendeley.com/documents/?uuid=a9064303-9bd5-476e-9823-004a41235148", "http://www.mendeley.com/documents/?uuid=6f2e4dc7-d455-4702-9041-91aedcf4755c" ] } ], "mendeley" : { "formattedCitation" : "(UNFCCC, 2015a)", "plainTextFormattedCitation" : "(UNFCCC, 2015a)", "previouslyFormattedCitation" : "(UNFCCC, 2015b)"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(UNFCCC, 2015a)</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os MDL permitem que projetos de redução de emissões em países em desenvolvimento ganhem créditos, cada um equivalente a uma tonelada de CO</w:t>
      </w:r>
      <w:r w:rsidRPr="00E83BAD">
        <w:rPr>
          <w:rFonts w:ascii="Times New Roman" w:hAnsi="Times New Roman" w:cs="Times New Roman"/>
          <w:color w:val="212121"/>
          <w:sz w:val="24"/>
          <w:szCs w:val="24"/>
          <w:vertAlign w:val="subscript"/>
          <w:lang w:val="pt-PT"/>
        </w:rPr>
        <w:t>2</w:t>
      </w:r>
      <w:r w:rsidRPr="00E83BAD">
        <w:rPr>
          <w:rFonts w:ascii="Times New Roman" w:hAnsi="Times New Roman" w:cs="Times New Roman"/>
          <w:color w:val="212121"/>
          <w:sz w:val="24"/>
          <w:szCs w:val="24"/>
          <w:lang w:val="pt-PT"/>
        </w:rPr>
        <w:t>. Esses Créditos de Redução de Emissão (CRE’s) podem ser negociados e vendidos, permitindo que os países industrializados os utilizem para atender uma parte de seus objetivos de redução de emissões de acordo com o Protocolo de Kyoto. Os MDL’s estimulam o desenvolvimento sustentável e ajuda na redução de emissões e ao mesmo tempo em que ajuda os países industrializados a atingirem os objetivos de limitação de redução de emissão.</w:t>
      </w:r>
    </w:p>
    <w:p w14:paraId="2DD7B800"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eastAsia="pt-BR"/>
        </w:rPr>
      </w:pPr>
      <w:r w:rsidRPr="00E83BAD">
        <w:rPr>
          <w:color w:val="212121"/>
          <w:lang w:val="pt-PT" w:eastAsia="pt-BR"/>
        </w:rPr>
        <w:t xml:space="preserve">O MDL tem sido surpreendentemente eficaz na mobilização de milhares de projetos de diminuição da emissão dos gases nos países em desenvolvimento e também conseguiu se reformar continuamente. Durante o primeiro período do compromisso (CP1),  entre 2008 e 2012, quase mil projetos de gestão de resíduos, foram registrados junto a UNFCCC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"UNFCCC", "given" : "", "non-dropping-particle" : "", "parse-names" : false, "suffix" : "" } ], "id" : "ITEM-1", "issued" : { "date-parts" : [ [ "2015" ] ] }, "title" : "CDM Project Search", "type" : "webpage" }, "suppress-author" : 1, "uris" : [ "http://www.mendeley.com/documents/?uuid=b5fb295c-fff4-44fd-aa5f-78b9788f6fae", "http://www.mendeley.com/documents/?uuid=c6b14b8e-b5ff-46c5-a868-450f54ac4622" ] } ], "mendeley" : { "formattedCitation" : "(2015b)", "plainTextFormattedCitation" : "(2015b)", "previouslyFormattedCitation" : "(2015c)"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(2015b)</w:t>
      </w:r>
      <w:r w:rsidRPr="00E83BAD">
        <w:rPr>
          <w:color w:val="212121"/>
          <w:lang w:val="pt-PT" w:eastAsia="pt-BR"/>
        </w:rPr>
        <w:fldChar w:fldCharType="end"/>
      </w:r>
      <w:r w:rsidRPr="00E83BAD">
        <w:rPr>
          <w:color w:val="212121"/>
          <w:lang w:val="pt-PT" w:eastAsia="pt-BR"/>
        </w:rPr>
        <w:t xml:space="preserve">. Em muitos projetos, a venda dos créditos certificados, apesar de não ser o foco principal – que é a redução de emissões, é a sua única receita </w:t>
      </w:r>
      <w:r w:rsidRPr="00E83BAD">
        <w:rPr>
          <w:color w:val="212121"/>
          <w:lang w:val="pt-PT" w:eastAsia="pt-BR"/>
        </w:rPr>
        <w:fldChar w:fldCharType="begin" w:fldLock="1"/>
      </w:r>
      <w:r w:rsidRPr="00E83BAD">
        <w:rPr>
          <w:color w:val="212121"/>
          <w:lang w:val="pt-PT" w:eastAsia="pt-BR"/>
        </w:rPr>
        <w:instrText>ADDIN CSL_CITATION { "citationItems" : [ { "id" : "ITEM-1", "itemData" : { "DOI" : "10.1016/j.wasman.2007.09.033", "ISSN" : "0956-053X", "PMID" : "18053701", "abstract" : "Due to initiatives such as the clean development mechanism (CDM), reducing greenhouse gas emissions for a developing country can offer an important route to attracting investment in a variety of qualifying project areas, including waste management. To date CDM projects have been largely confined to schemes that control emission from landfill, but projects that avoid landfilling are beginning to be submitted. In considering the waste options which might be suitable for developing countries certain ones, such as energy from waste, have been discounted for a range of reasons related primarily to the lack of technical and other support services required for these more sophisticated process trains. The paper focuses on six options: the base case of open dumping; three options for landfill (passive venting, gas capture with flaring, and gas capture with energy production), composting and anaerobic digestion with electricity production and composting of the digestate. A range of assumptions were necessary for making the comparisons based on the effective carbon emissions, and these assumptions will change from project to project. The highest impact in terms of carbon emissions was from using a sanitary landfill without either gas flaring or electricity production; this was worse than the baseline case using open dumpsites. Landfills with either flaring or energy production from the collected gas both produced similar positive carbon emissions, but these were substantially lower than both open dumping and sanitary landfill without flaring or energy production. Composting or anaerobic digestion with energy production and composting of the digestate were the two best options with composting being neutral in terms of carbon emissions and anaerobic digestion being carbon negative. These generic conclusions were tested for sensitivity by modifying the input waste composition and were found to be robust, suggesting that subject to local study to confirm assumptions made, the opportunity for developing CDM projects to attract investment to improved waste management infrastructure is significant. Kyoto credits in excess of 1 tCO2e/t of waste could be realised.", "author" : [ { "dropping-particle" : "", "family" : "Barton", "given" : "J R", "non-dropping-particle" : "", "parse-names" : false, "suffix" : "" }, { "dropping-particle" : "", "family" : "Issaias", "given" : "I", "non-dropping-particle" : "", "parse-names" : false, "suffix" : "" }, { "dropping-particle" : "", "family" : "Stentiford", "given" : "E I", "non-dropping-particle" : "", "parse-names" : false, "suffix" : "" } ], "container-title" : "Waste management (New York, N.Y.)", "id" : "ITEM-1", "issue" : "4", "issued" : { "date-parts" : [ [ "2008", "1" ] ] }, "page" : "690-8", "title" : "Carbon--making the right choice for waste management in developing countries.", "type" : "article-journal", "volume" : "28" }, "uris" : [ "http://www.mendeley.com/documents/?uuid=fea7c1e3-1201-46b0-b8b1-ecbbe8026863", "http://www.mendeley.com/documents/?uuid=d40c1e2d-6b01-47be-8096-77f69d244b14" ] } ], "mendeley" : { "formattedCitation" : "(Barton, Issaias, &amp; Stentiford, 2008)", "plainTextFormattedCitation" : "(Barton, Issaias, &amp; Stentiford, 2008)", "previouslyFormattedCitation" : "(BARTON; ISSAIAS; STENTIFORD, 2008)"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(Barton, Issaias, &amp; Stentiford, 2008)</w:t>
      </w:r>
      <w:r w:rsidRPr="00E83BAD">
        <w:rPr>
          <w:color w:val="212121"/>
          <w:lang w:val="pt-PT" w:eastAsia="pt-BR"/>
        </w:rPr>
        <w:fldChar w:fldCharType="end"/>
      </w:r>
      <w:r w:rsidRPr="00E83BAD">
        <w:rPr>
          <w:color w:val="212121"/>
          <w:lang w:val="pt-PT" w:eastAsia="pt-BR"/>
        </w:rPr>
        <w:t xml:space="preserve">. </w:t>
      </w:r>
      <w:r w:rsidRPr="00E83BAD">
        <w:rPr>
          <w:color w:val="212121"/>
          <w:lang w:eastAsia="pt-BR"/>
        </w:rPr>
        <w:t xml:space="preserve">Sem estes recursos os projetos jamais seriam implementados </w:t>
      </w:r>
      <w:r w:rsidRPr="00E83BAD">
        <w:rPr>
          <w:color w:val="212121"/>
          <w:lang w:eastAsia="pt-BR"/>
        </w:rPr>
        <w:fldChar w:fldCharType="begin" w:fldLock="1"/>
      </w:r>
      <w:r w:rsidRPr="00E83BAD">
        <w:rPr>
          <w:color w:val="212121"/>
          <w:lang w:eastAsia="pt-BR"/>
        </w:rPr>
        <w:instrText>ADDIN CSL_CITATION { "citationItems" : [ { "id" : "ITEM-1", "itemData" : { "author" : [ { "dropping-particle" : "", "family" : "UNFCCC", "given" : "", "non-dropping-particle" : "", "parse-names" : false, "suffix" : "" } ], "collection-title" : "Technical Paper", "id" : "ITEM-1", "issued" : { "date-parts" : [ [ "2008" ] ] }, "number" : "FCCC/TP/2008/7", "title" : "Investment and financial flows to address climate change: an update", "type" : "report" }, "uris" : [ "http://www.mendeley.com/documents/?uuid=c920f2fe-a7c3-48bc-8e6b-4e007c8f9c26", "http://www.mendeley.com/documents/?uuid=3f6951c0-e8fb-4b93-abf1-1e6d889b4fe3" ] } ], "mendeley" : { "formattedCitation" : "(UNFCCC, 2008)", "plainTextFormattedCitation" : "(UNFCCC, 2008)", "previouslyFormattedCitation" : "(UNFCCC, 2008)" }, "properties" : {  }, "schema" : "https://github.com/citation-style-language/schema/raw/master/csl-citation.json" }</w:instrText>
      </w:r>
      <w:r w:rsidRPr="00E83BAD">
        <w:rPr>
          <w:color w:val="212121"/>
          <w:lang w:eastAsia="pt-BR"/>
        </w:rPr>
        <w:fldChar w:fldCharType="separate"/>
      </w:r>
      <w:r w:rsidRPr="00E83BAD">
        <w:rPr>
          <w:noProof/>
          <w:color w:val="212121"/>
          <w:lang w:eastAsia="pt-BR"/>
        </w:rPr>
        <w:t>(UNFCCC, 2008)</w:t>
      </w:r>
      <w:r w:rsidRPr="00E83BAD">
        <w:rPr>
          <w:color w:val="212121"/>
          <w:lang w:eastAsia="pt-BR"/>
        </w:rPr>
        <w:fldChar w:fldCharType="end"/>
      </w:r>
      <w:r w:rsidRPr="00E83BAD">
        <w:rPr>
          <w:color w:val="212121"/>
          <w:lang w:eastAsia="pt-BR"/>
        </w:rPr>
        <w:t>.</w:t>
      </w:r>
    </w:p>
    <w:p w14:paraId="47BA9DE8" w14:textId="29B02E20"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Acontece que, para o segundo período (CP2), entre 2013-2020, as expectativas e condições do mercado de créditos de carbono eram bem diferentes. Em 2012, os preços da tonelada de CO</w:t>
      </w:r>
      <w:r w:rsidRPr="00E83BAD">
        <w:rPr>
          <w:color w:val="212121"/>
          <w:vertAlign w:val="subscript"/>
          <w:lang w:val="pt-PT" w:eastAsia="pt-BR"/>
        </w:rPr>
        <w:t xml:space="preserve">2 </w:t>
      </w:r>
      <w:r w:rsidRPr="00E83BAD">
        <w:rPr>
          <w:color w:val="212121"/>
          <w:lang w:val="pt-PT" w:eastAsia="pt-BR"/>
        </w:rPr>
        <w:t xml:space="preserve">equivalente chegaram à poucos centavos. Em 2013 a liquidez alcançou o menor número de transações desde o início de sua operação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"UNFCCC", "given" : "", "non-dropping-particle" : "", "parse-names" : false, "suffix" : "" } ], "id" : "ITEM-1", "issued" : { "date-parts" : [ [ "2013" ] ] }, "number" : "FCCC/SBI/2013/INF.16", "publisher-place" : "Geneva", "title" : "Annual report of the administrator of the international transaction log under the Kyoto Protocol. Note by the secretariat.", "type" : "report" }, "uris" : [ "http://www.mendeley.com/documents/?uuid=af83f63a-7388-4328-add7-cf8de754180e", "http://www.mendeley.com/documents/?uuid=b0b07897-ee5c-4f9e-81b3-2f96e90d0df7" ] } ], "mendeley" : { "formattedCitation" : "(UNFCCC, 2013)", "plainTextFormattedCitation" : "(UNFCCC, 2013)", "previouslyFormattedCitation" : "(UNFCCC, 2013)"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(UNFCCC, 2013)</w:t>
      </w:r>
      <w:r w:rsidRPr="00E83BAD">
        <w:rPr>
          <w:color w:val="212121"/>
          <w:lang w:val="pt-PT" w:eastAsia="pt-BR"/>
        </w:rPr>
        <w:fldChar w:fldCharType="end"/>
      </w:r>
      <w:r w:rsidRPr="00E83BAD">
        <w:rPr>
          <w:color w:val="212121"/>
          <w:lang w:val="pt-PT" w:eastAsia="pt-BR"/>
        </w:rPr>
        <w:t xml:space="preserve">. </w:t>
      </w:r>
      <w:r w:rsidR="00FA1C0A">
        <w:rPr>
          <w:color w:val="212121"/>
          <w:lang w:val="pt-PT" w:eastAsia="pt-BR"/>
        </w:rPr>
        <w:t xml:space="preserve">Em 2019 o preço da tonelada negociada teve variação de 20 </w:t>
      </w:r>
      <w:proofErr w:type="gramStart"/>
      <w:r w:rsidR="00FA1C0A">
        <w:rPr>
          <w:color w:val="212121"/>
          <w:lang w:val="pt-PT" w:eastAsia="pt-BR"/>
        </w:rPr>
        <w:t>à</w:t>
      </w:r>
      <w:proofErr w:type="gramEnd"/>
      <w:r w:rsidR="00FA1C0A">
        <w:rPr>
          <w:color w:val="212121"/>
          <w:lang w:val="pt-PT" w:eastAsia="pt-BR"/>
        </w:rPr>
        <w:t xml:space="preserve"> 28 Euros</w:t>
      </w:r>
      <w:r w:rsidR="0002453E">
        <w:rPr>
          <w:color w:val="212121"/>
          <w:lang w:val="pt-PT" w:eastAsia="pt-BR"/>
        </w:rPr>
        <w:t xml:space="preserve"> (BRI</w:t>
      </w:r>
      <w:r w:rsidR="00274E89">
        <w:rPr>
          <w:color w:val="212121"/>
          <w:lang w:val="pt-PT" w:eastAsia="pt-BR"/>
        </w:rPr>
        <w:t>NVESTING</w:t>
      </w:r>
      <w:r w:rsidR="0002453E">
        <w:rPr>
          <w:color w:val="212121"/>
          <w:lang w:val="pt-PT" w:eastAsia="pt-BR"/>
        </w:rPr>
        <w:t>, 2020)</w:t>
      </w:r>
      <w:r w:rsidR="00FA1C0A">
        <w:rPr>
          <w:color w:val="212121"/>
          <w:lang w:val="pt-PT" w:eastAsia="pt-BR"/>
        </w:rPr>
        <w:t>.</w:t>
      </w:r>
    </w:p>
    <w:p w14:paraId="5D48B92D" w14:textId="4CFDB746"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Vários acontecimentos contribuíram para o colapso do Protocolo. Primeiro, a crise econômica de 2008, reduziu a atividade industrial e logo as emissões, fazendo com que a oferta de créditos fosse superstimadas em quase 12Gt. Depois, as emissões que sobraram do CP1 poderiam ser carreadas para o CP2, agravando a situação. Por último, grandes países como a Rússia, a Austrália e o Canadá deixaram o acordo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"Point Carbon", "given" : "", "non-dropping-particle" : "", "parse-names" : false, "suffix" : "" } ], "id" : "ITEM-1", "issued" : { "date-parts" : [ [ "2012" ] ] }, "title" : "Point Carbon, 2012. Carry-over of AAUS from CP1 to CP2 \u2013 Future Implications for the Climate Regime. Point Carbon.", "type" : "webpage" }, "uris" : [ "http://www.mendeley.com/documents/?uuid=021000cf-d115-4730-9826-409bc8907f48", "http://www.mendeley.com/documents/?uuid=c37a7fdb-b04e-4de8-9d1d-f31ff60609f9" ] } ], "mendeley" : { "formattedCitation" : "(Point Carbon, 2012)", "plainTextFormattedCitation" : "(Point Carbon, 2012)", "previouslyFormattedCitation" : "(POINT CARBON, 2012)"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POINT CARBON</w:t>
      </w:r>
      <w:r w:rsidRPr="00E83BAD">
        <w:rPr>
          <w:noProof/>
          <w:color w:val="212121"/>
          <w:lang w:val="pt-PT" w:eastAsia="pt-BR"/>
        </w:rPr>
        <w:t>, 2012)</w:t>
      </w:r>
      <w:r w:rsidRPr="00E83BAD">
        <w:rPr>
          <w:color w:val="212121"/>
          <w:lang w:val="pt-PT" w:eastAsia="pt-BR"/>
        </w:rPr>
        <w:fldChar w:fldCharType="end"/>
      </w:r>
      <w:r w:rsidRPr="00E83BAD">
        <w:rPr>
          <w:color w:val="212121"/>
          <w:lang w:val="pt-PT" w:eastAsia="pt-BR"/>
        </w:rPr>
        <w:t>.</w:t>
      </w:r>
    </w:p>
    <w:p w14:paraId="49F4E2C4" w14:textId="2B1C7AC3"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Este estado de coisas além de adicionar incertezas a novos </w:t>
      </w:r>
      <w:proofErr w:type="gramStart"/>
      <w:r w:rsidRPr="00E83BAD">
        <w:rPr>
          <w:color w:val="212121"/>
          <w:lang w:val="pt-PT" w:eastAsia="pt-BR"/>
        </w:rPr>
        <w:t>registros</w:t>
      </w:r>
      <w:proofErr w:type="gramEnd"/>
      <w:r w:rsidRPr="00E83BAD">
        <w:rPr>
          <w:color w:val="212121"/>
          <w:lang w:val="pt-PT" w:eastAsia="pt-BR"/>
        </w:rPr>
        <w:t xml:space="preserve">, colocou em dificuldade financeira a maioria dos projetos existentes, que tiveram de adiar as melhorias e desistir de ampliações previstas. Com a escassez de recursos, a qualidade das análises financeiras efetuadas se tornaram vitais para o sucesso do empreendimento </w:t>
      </w:r>
      <w:r w:rsidRPr="00E83BAD">
        <w:rPr>
          <w:color w:val="212121"/>
          <w:lang w:val="pt-PT" w:eastAsia="pt-BR"/>
        </w:rPr>
        <w:fldChar w:fldCharType="begin" w:fldLock="1"/>
      </w:r>
      <w:r w:rsidRPr="00E83BAD">
        <w:rPr>
          <w:color w:val="212121"/>
          <w:lang w:val="pt-PT" w:eastAsia="pt-BR"/>
        </w:rPr>
        <w:instrText>ADDIN CSL_CITATION { "citationItems" : [ { "id" : "ITEM-1", "itemData" : { "DOI" : "10.1016/j.wasman.2015.06.030", "ISSN" : "0956053X", "abstract" : "a b s t r a c t This study illustrates the financial analyses for demonstration and assessment of additionality presented in the project design (PDD) and enclosed documents of the 431 large Clean Development Mechanisms (CDM) classified as the 'waste handling and disposal sector' (13) over the past ten years (2004\u20132014). The expected certified emissions reductions (CER) of these projects total 63.54 million metric tons of CO 2 eq, where eight countries account for 311 projects and 43.36 million metric tons. All of the projects declare themselves 'not financially attractive' without CER with an estimated sum of negative results of approximately a half billion US$. The results indicate that WM benchmarks and indicators are converging and reducing in variance, and the sensitivity analysis reveals that revenues have a greater effect on the financial results. This work concludes that an extensive financial database with simple standards for dis-closure would greatly diminish statement problems and make information more comparable, reducing the risk and capital costs of WM projects.", "author" : [ { "dropping-particle" : "", "family" : "Bufoni", "given" : "A.L.", "non-dropping-particle" : "", "parse-names" : false, "suffix" : "" }, { "dropping-particle" : "", "family" : "Oliveira", "given" : "Luciano Basto", "non-dropping-particle" : "", "parse-names" : false, "suffix" : "" }, { "dropping-particle" : "", "family" : "Rosa", "given" : "Luiz Pinguelli", "non-dropping-particle" : "", "parse-names" : false, "suffix" : "" } ], "container-title" : "Waste Management", "id" : "ITEM-1", "issue" : "September", "issued" : { "date-parts" : [ [ "2015", "9" ] ] }, "page" : "497-508", "title" : "The financial attractiveness assessment of large waste management projects registered as clean development mechanism", "type" : "article-journal", "volume" : "43" }, "uris" : [ "http://www.mendeley.com/documents/?uuid=81241779-07fe-3884-9231-70c7077007db", "http://www.mendeley.com/documents/?uuid=fb229129-5d9d-4068-8fff-a7b432ef7170" ] } ], "mendeley" : { "formattedCitation" : "(A.L. Bufoni, Oliveira, &amp; Rosa, 2015)", "plainTextFormattedCitation" : "(A.L. Bufoni, Oliveira, &amp; Rosa, 2015)", "previouslyFormattedCitation" : "(BUFONI; OLIVEIRA; ROSA, 2015)"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BUFONI</w:t>
      </w:r>
      <w:r w:rsidR="008B4318">
        <w:rPr>
          <w:noProof/>
          <w:color w:val="212121"/>
          <w:lang w:val="pt-PT" w:eastAsia="pt-BR"/>
        </w:rPr>
        <w:t>;</w:t>
      </w:r>
      <w:r w:rsidR="008B4318" w:rsidRPr="00E83BAD">
        <w:rPr>
          <w:noProof/>
          <w:color w:val="212121"/>
          <w:lang w:val="pt-PT" w:eastAsia="pt-BR"/>
        </w:rPr>
        <w:t xml:space="preserve"> OLIVEIRA</w:t>
      </w:r>
      <w:r w:rsidR="008B4318">
        <w:rPr>
          <w:noProof/>
          <w:color w:val="212121"/>
          <w:lang w:val="pt-PT" w:eastAsia="pt-BR"/>
        </w:rPr>
        <w:t>;</w:t>
      </w:r>
      <w:r w:rsidR="008B4318" w:rsidRPr="00E83BAD">
        <w:rPr>
          <w:noProof/>
          <w:color w:val="212121"/>
          <w:lang w:val="pt-PT" w:eastAsia="pt-BR"/>
        </w:rPr>
        <w:t xml:space="preserve"> ROSA</w:t>
      </w:r>
      <w:r w:rsidRPr="00E83BAD">
        <w:rPr>
          <w:noProof/>
          <w:color w:val="212121"/>
          <w:lang w:val="pt-PT" w:eastAsia="pt-BR"/>
        </w:rPr>
        <w:t>, 2015)</w:t>
      </w:r>
      <w:r w:rsidRPr="00E83BAD">
        <w:rPr>
          <w:color w:val="212121"/>
          <w:lang w:val="pt-PT" w:eastAsia="pt-BR"/>
        </w:rPr>
        <w:fldChar w:fldCharType="end"/>
      </w:r>
      <w:r w:rsidRPr="00E83BAD">
        <w:rPr>
          <w:color w:val="212121"/>
          <w:lang w:val="pt-PT" w:eastAsia="pt-BR"/>
        </w:rPr>
        <w:t>.</w:t>
      </w:r>
    </w:p>
    <w:p w14:paraId="52AC56DD" w14:textId="1B41B323"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Para o nosso interesse, o metodologia passo-a-passo obrigatória para registro junto a UNFCCC, a qual exige uma análise das barreiras e da atratividade, se tornou uma “das mais ricas e importantes fontes de informações financeiras sobre projetos de resíduos para designers e profissionais dos países em desenvolvimento” </w:t>
      </w:r>
      <w:r w:rsidRPr="00E83BAD">
        <w:rPr>
          <w:color w:val="212121"/>
          <w:lang w:val="pt-PT" w:eastAsia="pt-BR"/>
        </w:rPr>
        <w:fldChar w:fldCharType="begin" w:fldLock="1"/>
      </w:r>
      <w:r w:rsidRPr="00E83BAD">
        <w:rPr>
          <w:color w:val="212121"/>
          <w:lang w:val="pt-PT" w:eastAsia="pt-BR"/>
        </w:rPr>
        <w:instrText>ADDIN CSL_CITATION { "citationItems" : [ { "id" : "ITEM-1", "itemData" : { "DOI" : "10.1177/0734242X07087947", "ISSN" : "0734-242X", "author" : [ { "dropping-particle" : "", "family" : "Plochl", "given" : "C.", "non-dropping-particle" : "", "parse-names" : false, "suffix" : "" }, { "dropping-particle" : "", "family" : "Wetzer", "given" : "W.", "non-dropping-particle" : "", "parse-names" : false, "suffix" : "" }, { "dropping-particle" : "", "family" : "Ragossnig", "given" : "a.", "non-dropping-particle" : "", "parse-names" : false, "suffix" : "" } ], "container-title" : "Waste Management &amp; Research", "id" : "ITEM-1", "issue" : "1", "issued" : { "date-parts" : [ [ "2008" ] ] }, "page" : "104-110", "title" : "Clean development mechanism: an incentive for waste management projects?", "type" : "article-journal", "volume" : "26" }, "uris" : [ "http://www.mendeley.com/documents/?uuid=c9b2caa2-7c3e-405b-89ca-2a7e290e1142", "http://www.mendeley.com/documents/?uuid=c28bfec3-eea2-46d6-8d27-c4fb552093ed" ] } ], "mendeley" : { "formattedCitation" : "(Plochl, Wetzer, &amp; Ragossnig, 2008)", "plainTextFormattedCitation" : "(Plochl, Wetzer, &amp; Ragossnig, 2008)", "previouslyFormattedCitation" : "(PLOCHL; WETZER; RAGOSSNIG, 2008)"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PLOCHL</w:t>
      </w:r>
      <w:r w:rsidR="008B4318">
        <w:rPr>
          <w:noProof/>
          <w:color w:val="212121"/>
          <w:lang w:val="pt-PT" w:eastAsia="pt-BR"/>
        </w:rPr>
        <w:t>;</w:t>
      </w:r>
      <w:r w:rsidR="008B4318" w:rsidRPr="00E83BAD">
        <w:rPr>
          <w:noProof/>
          <w:color w:val="212121"/>
          <w:lang w:val="pt-PT" w:eastAsia="pt-BR"/>
        </w:rPr>
        <w:t xml:space="preserve"> WETZER</w:t>
      </w:r>
      <w:r w:rsidR="008B4318">
        <w:rPr>
          <w:noProof/>
          <w:color w:val="212121"/>
          <w:lang w:val="pt-PT" w:eastAsia="pt-BR"/>
        </w:rPr>
        <w:t>;</w:t>
      </w:r>
      <w:r w:rsidR="008B4318" w:rsidRPr="00E83BAD">
        <w:rPr>
          <w:noProof/>
          <w:color w:val="212121"/>
          <w:lang w:val="pt-PT" w:eastAsia="pt-BR"/>
        </w:rPr>
        <w:t xml:space="preserve"> RAGOSSNIG, </w:t>
      </w:r>
      <w:r w:rsidRPr="00E83BAD">
        <w:rPr>
          <w:noProof/>
          <w:color w:val="212121"/>
          <w:lang w:val="pt-PT" w:eastAsia="pt-BR"/>
        </w:rPr>
        <w:t>2008)</w:t>
      </w:r>
      <w:r w:rsidRPr="00E83BAD">
        <w:rPr>
          <w:color w:val="212121"/>
          <w:lang w:val="pt-PT" w:eastAsia="pt-BR"/>
        </w:rPr>
        <w:fldChar w:fldCharType="end"/>
      </w:r>
      <w:r w:rsidRPr="00E83BAD">
        <w:rPr>
          <w:color w:val="212121"/>
          <w:lang w:val="pt-PT" w:eastAsia="pt-BR"/>
        </w:rPr>
        <w:t>.</w:t>
      </w:r>
    </w:p>
    <w:p w14:paraId="388D3813" w14:textId="7C0DC5CF"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Mas o MDL também tem sido alvo de críticas, como a fraca integridade ambiental, altos custos de transação e governança complexa </w:t>
      </w:r>
      <w:r w:rsidRPr="00E83BAD">
        <w:rPr>
          <w:color w:val="212121"/>
          <w:lang w:val="pt-PT" w:eastAsia="pt-BR"/>
        </w:rPr>
        <w:fldChar w:fldCharType="begin" w:fldLock="1"/>
      </w:r>
      <w:r w:rsidRPr="00E83BAD">
        <w:rPr>
          <w:color w:val="212121"/>
          <w:lang w:val="pt-PT" w:eastAsia="pt-BR"/>
        </w:rPr>
        <w:instrText>ADDIN CSL_CITATION { "citationItems" : [ { "id" : "ITEM-1", "itemData" : { "abstract" : "Project\u2010based crediting mechanisms for greenhouse gases have to show environmental integrity, which manifests itself in determination of project additionality and the emissions baseline used to calculate credit volumes. A mechanism should mobilize the lowest mitigation cost options first and have minimal transaction costs. Governance should be effective, and include capacity building. The mechanism should lead to flows of investment and technology transfer. Finally, it is more and more recognized that crediting mechanisms should not just provide offset credits but also contribute to global emission reductions. The CDM has been surprisingly effective in mobilizing thousands of mitigation projects in developing countries, and has also been able to reform itself continuously. Nevertheless, it has been criticized for weak environmental integrity, high transaction costs and complex governance. New market mechanisms (NMM) have been proposed to avoid these shortcomings. It would be inappropriate to compare the CDM with the proposed mechanisms, as their design remains unclear and the real problems of a mechanism only emerge once it has been implemented for a significant period of time. But already now, a number of baseline and credit mechanisms exists on different levels with whom the CDM can be compared. Domestic offset schemes in the US and Australia, as well as standards on the voluntary market apply standardized approaches to additionality and baseline determination; several of them audit projects only before credits are issued. The impact of these simplifications on environmental integrity seems to be negative, at least as long no restrictions of project types exist. The problems with overallocation in emissions trading systems have shown that political decisions on baselines \u2013 which are envisaged in the context of the NMM \u2010 are likely to lead to an outcome with weak environmental integrity. There is no simple solution for standardization across project types and geographic locations which can guarantee environmental integrity. It remains to be seen how the current strong standardization drive of the CDM performs in that respect. The CDM with its inherent ability to reform itself is well placed to inform the design of NMM. While the CDM is contributing to global emissions reductions because crediting periods are shorter than technical lifetimes of project equipment, a targeted contribution could be generated through discounting of emissions credits. Acknow\u2026", "author" : [ { "dropping-particle" : "", "family" : "Michaelowa", "given" : "Axel", "non-dropping-particle" : "", "parse-names" : false, "suffix" : "" } ], "id" : "ITEM-1", "issue" : "2", "issued" : { "date-parts" : [ [ "2012" ] ] }, "page" : "50", "title" : "Strengths and weaknesses of the CDM in comparison with new and emerging market mechanisms", "type" : "article-journal" }, "uris" : [ "http://www.mendeley.com/documents/?uuid=de2e204a-70e4-4cec-9fa9-0949c8e2c80f", "http://www.mendeley.com/documents/?uuid=5341ad5e-0952-4cfa-aca8-ca647410514e" ] } ], "mendeley" : { "formattedCitation" : "(Michaelowa, 2012)", "plainTextFormattedCitation" : "(Michaelowa, 2012)", "previouslyFormattedCitation" : "(MICHAELOWA, 2012)"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MICHAELOWA</w:t>
      </w:r>
      <w:r w:rsidRPr="00E83BAD">
        <w:rPr>
          <w:noProof/>
          <w:color w:val="212121"/>
          <w:lang w:val="pt-PT" w:eastAsia="pt-BR"/>
        </w:rPr>
        <w:t>, 2012)</w:t>
      </w:r>
      <w:r w:rsidRPr="00E83BAD">
        <w:rPr>
          <w:color w:val="212121"/>
          <w:lang w:val="pt-PT" w:eastAsia="pt-BR"/>
        </w:rPr>
        <w:fldChar w:fldCharType="end"/>
      </w:r>
      <w:r w:rsidRPr="00E83BAD">
        <w:rPr>
          <w:color w:val="212121"/>
          <w:lang w:val="pt-PT" w:eastAsia="pt-BR"/>
        </w:rPr>
        <w:t xml:space="preserve">. Os altos custos para a implementação dos projetos de MDL, o viés nas premissas da estimativa de atratividade financeira, a ausência de </w:t>
      </w:r>
      <w:r w:rsidRPr="00E83BAD">
        <w:rPr>
          <w:color w:val="212121"/>
          <w:lang w:val="pt-PT" w:eastAsia="pt-BR"/>
        </w:rPr>
        <w:lastRenderedPageBreak/>
        <w:t xml:space="preserve">padrões de evidenciação e o caráter desconexo dos diversos projetos, apresentados individualmente e de maneira isolada, são mais alguns problemas encontrados </w:t>
      </w:r>
      <w:r w:rsidRPr="00E83BAD">
        <w:rPr>
          <w:color w:val="212121"/>
          <w:lang w:val="pt-PT" w:eastAsia="pt-BR"/>
        </w:rPr>
        <w:fldChar w:fldCharType="begin" w:fldLock="1"/>
      </w:r>
      <w:r w:rsidRPr="00E83BAD">
        <w:rPr>
          <w:color w:val="212121"/>
          <w:lang w:val="pt-PT" w:eastAsia="pt-BR"/>
        </w:rPr>
        <w:instrText>ADDIN CSL_CITATION { "citationItems" : [ { "id" : "ITEM-1", "itemData" : { "DOI" : "10.1016/j.wasman.2015.06.030", "ISSN" : "0956053X", "abstract" : "a b s t r a c t This study illustrates the financial analyses for demonstration and assessment of additionality presented in the project design (PDD) and enclosed documents of the 431 large Clean Development Mechanisms (CDM) classified as the 'waste handling and disposal sector' (13) over the past ten years (2004\u20132014). The expected certified emissions reductions (CER) of these projects total 63.54 million metric tons of CO 2 eq, where eight countries account for 311 projects and 43.36 million metric tons. All of the projects declare themselves 'not financially attractive' without CER with an estimated sum of negative results of approximately a half billion US$. The results indicate that WM benchmarks and indicators are converging and reducing in variance, and the sensitivity analysis reveals that revenues have a greater effect on the financial results. This work concludes that an extensive financial database with simple standards for dis-closure would greatly diminish statement problems and make information more comparable, reducing the risk and capital costs of WM projects.", "author" : [ { "dropping-particle" : "", "family" : "Bufoni", "given" : "A.L.", "non-dropping-particle" : "", "parse-names" : false, "suffix" : "" }, { "dropping-particle" : "", "family" : "Oliveira", "given" : "Luciano Basto", "non-dropping-particle" : "", "parse-names" : false, "suffix" : "" }, { "dropping-particle" : "", "family" : "Rosa", "given" : "Luiz Pinguelli", "non-dropping-particle" : "", "parse-names" : false, "suffix" : "" } ], "container-title" : "Waste Management", "id" : "ITEM-1", "issue" : "September", "issued" : { "date-parts" : [ [ "2015", "9" ] ] }, "page" : "497-508", "title" : "The financial attractiveness assessment of large waste management projects registered as clean development mechanism", "type" : "article-journal", "volume" : "43" }, "uris" : [ "http://www.mendeley.com/documents/?uuid=fb229129-5d9d-4068-8fff-a7b432ef7170", "http://www.mendeley.com/documents/?uuid=81241779-07fe-3884-9231-70c7077007db" ] } ], "mendeley" : { "formattedCitation" : "(A.L. Bufoni et al., 2015)", "plainTextFormattedCitation" : "(A.L. Bufoni et al., 2015)", "previouslyFormattedCitation" : "(BUFONI; OLIVEIRA; ROSA, 2015)"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BUFONI</w:t>
      </w:r>
      <w:r w:rsidRPr="00E83BAD">
        <w:rPr>
          <w:noProof/>
          <w:color w:val="212121"/>
          <w:lang w:val="pt-PT" w:eastAsia="pt-BR"/>
        </w:rPr>
        <w:t xml:space="preserve"> et al., 2015)</w:t>
      </w:r>
      <w:r w:rsidRPr="00E83BAD">
        <w:rPr>
          <w:color w:val="212121"/>
          <w:lang w:val="pt-PT" w:eastAsia="pt-BR"/>
        </w:rPr>
        <w:fldChar w:fldCharType="end"/>
      </w:r>
      <w:r w:rsidRPr="00E83BAD">
        <w:rPr>
          <w:color w:val="212121"/>
          <w:lang w:val="pt-PT" w:eastAsia="pt-BR"/>
        </w:rPr>
        <w:t>.</w:t>
      </w:r>
    </w:p>
    <w:p w14:paraId="1CACF7F0" w14:textId="2C3F2D9B"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Deve-se considerar que os</w:t>
      </w:r>
      <w:r w:rsidRPr="00E83BAD">
        <w:rPr>
          <w:color w:val="212121"/>
          <w:lang w:val="pt-PT"/>
        </w:rPr>
        <w:t xml:space="preserve"> projetos exigem o cumprimento de padrões rigorosos de análise e documentação, considerando uma série de questões legais, de negócios e de </w:t>
      </w:r>
      <w:r w:rsidRPr="00E83BAD">
        <w:rPr>
          <w:color w:val="212121"/>
          <w:lang w:val="pt-PT" w:eastAsia="pt-BR"/>
        </w:rPr>
        <w:t xml:space="preserve">relações comunitárias </w:t>
      </w:r>
      <w:r w:rsidRPr="00E83BAD">
        <w:rPr>
          <w:color w:val="212121"/>
          <w:lang w:val="pt-PT" w:eastAsia="pt-BR"/>
        </w:rPr>
        <w:fldChar w:fldCharType="begin" w:fldLock="1"/>
      </w:r>
      <w:r w:rsidRPr="00E83BAD">
        <w:rPr>
          <w:color w:val="212121"/>
          <w:lang w:val="pt-PT" w:eastAsia="pt-BR"/>
        </w:rPr>
        <w:instrText>ADDIN CSL_CITATION { "citationItems" : [ { "id" : "ITEM-1", "itemData" : { "author" : [ { "dropping-particle" : "", "family" : "Olander", "given" : "Jacob", "non-dropping-particle" : "", "parse-names" : false, "suffix" : "" } ], "container-title" : "Forest Trends", "id" : "ITEM-1", "issued" : { "date-parts" : [ [ "2011" ] ] }, "page" : "45 pp.", "title" : "Building forest carbon projects", "type" : "article-journal" }, "uris" : [ "http://www.mendeley.com/documents/?uuid=951ec9d6-6d3a-4e59-b876-796cd0ea229c", "http://www.mendeley.com/documents/?uuid=ff7218ce-bdd0-403c-a92f-436f7c6bc7fc" ] } ], "mendeley" : { "formattedCitation" : "(Olander, 2011)", "plainTextFormattedCitation" : "(Olander, 2011)", "previouslyFormattedCitation" : "(OLANDER, 2011)"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OLANDER</w:t>
      </w:r>
      <w:r w:rsidRPr="00E83BAD">
        <w:rPr>
          <w:noProof/>
          <w:color w:val="212121"/>
          <w:lang w:val="pt-PT" w:eastAsia="pt-BR"/>
        </w:rPr>
        <w:t>, 2011)</w:t>
      </w:r>
      <w:r w:rsidRPr="00E83BAD">
        <w:rPr>
          <w:color w:val="212121"/>
          <w:lang w:val="pt-PT" w:eastAsia="pt-BR"/>
        </w:rPr>
        <w:fldChar w:fldCharType="end"/>
      </w:r>
      <w:r w:rsidRPr="00E83BAD">
        <w:rPr>
          <w:color w:val="212121"/>
          <w:lang w:val="pt-PT" w:eastAsia="pt-BR"/>
        </w:rPr>
        <w:t xml:space="preserve">. Além disso, para uma conclusão adequada a respeito da efetividade dos projetos de CDM é necessário mais tempo, pois os problemas reais de um mecanismo só emergem após a implementação de um período significativo de tempo </w:t>
      </w:r>
      <w:r w:rsidRPr="00E83BAD">
        <w:rPr>
          <w:color w:val="212121"/>
          <w:lang w:val="pt-PT" w:eastAsia="pt-BR"/>
        </w:rPr>
        <w:fldChar w:fldCharType="begin" w:fldLock="1"/>
      </w:r>
      <w:r w:rsidRPr="00E83BAD">
        <w:rPr>
          <w:color w:val="212121"/>
          <w:lang w:val="pt-PT" w:eastAsia="pt-BR"/>
        </w:rPr>
        <w:instrText>ADDIN CSL_CITATION { "citationItems" : [ { "id" : "ITEM-1", "itemData" : { "abstract" : "Project\u2010based crediting mechanisms for greenhouse gases have to show environmental integrity, which manifests itself in determination of project additionality and the emissions baseline used to calculate credit volumes. A mechanism should mobilize the lowest mitigation cost options first and have minimal transaction costs. Governance should be effective, and include capacity building. The mechanism should lead to flows of investment and technology transfer. Finally, it is more and more recognized that crediting mechanisms should not just provide offset credits but also contribute to global emission reductions. The CDM has been surprisingly effective in mobilizing thousands of mitigation projects in developing countries, and has also been able to reform itself continuously. Nevertheless, it has been criticized for weak environmental integrity, high transaction costs and complex governance. New market mechanisms (NMM) have been proposed to avoid these shortcomings. It would be inappropriate to compare the CDM with the proposed mechanisms, as their design remains unclear and the real problems of a mechanism only emerge once it has been implemented for a significant period of time. But already now, a number of baseline and credit mechanisms exists on different levels with whom the CDM can be compared. Domestic offset schemes in the US and Australia, as well as standards on the voluntary market apply standardized approaches to additionality and baseline determination; several of them audit projects only before credits are issued. The impact of these simplifications on environmental integrity seems to be negative, at least as long no restrictions of project types exist. The problems with overallocation in emissions trading systems have shown that political decisions on baselines \u2013 which are envisaged in the context of the NMM \u2010 are likely to lead to an outcome with weak environmental integrity. There is no simple solution for standardization across project types and geographic locations which can guarantee environmental integrity. It remains to be seen how the current strong standardization drive of the CDM performs in that respect. The CDM with its inherent ability to reform itself is well placed to inform the design of NMM. While the CDM is contributing to global emissions reductions because crediting periods are shorter than technical lifetimes of project equipment, a targeted contribution could be generated through discounting of emissions credits. Acknow\u2026", "author" : [ { "dropping-particle" : "", "family" : "Michaelowa", "given" : "Axel", "non-dropping-particle" : "", "parse-names" : false, "suffix" : "" } ], "id" : "ITEM-1", "issue" : "2", "issued" : { "date-parts" : [ [ "2012" ] ] }, "page" : "50", "title" : "Strengths and weaknesses of the CDM in comparison with new and emerging market mechanisms", "type" : "article-journal" }, "uris" : [ "http://www.mendeley.com/documents/?uuid=5341ad5e-0952-4cfa-aca8-ca647410514e", "http://www.mendeley.com/documents/?uuid=de2e204a-70e4-4cec-9fa9-0949c8e2c80f" ] } ], "mendeley" : { "formattedCitation" : "(Michaelowa, 2012)", "plainTextFormattedCitation" : "(Michaelowa, 2012)", "previouslyFormattedCitation" : "(MICHAELOWA, 2012)" }, "properties" : {  }, "schema" : "https://github.com/citation-style-language/schema/raw/master/csl-citation.json" }</w:instrText>
      </w:r>
      <w:r w:rsidRPr="00E83BAD">
        <w:rPr>
          <w:color w:val="212121"/>
          <w:lang w:val="pt-PT" w:eastAsia="pt-BR"/>
        </w:rPr>
        <w:fldChar w:fldCharType="separate"/>
      </w:r>
      <w:r w:rsidRPr="00E83BAD">
        <w:rPr>
          <w:noProof/>
          <w:color w:val="212121"/>
          <w:lang w:val="pt-PT" w:eastAsia="pt-BR"/>
        </w:rPr>
        <w:t>(</w:t>
      </w:r>
      <w:r w:rsidR="008B4318" w:rsidRPr="00E83BAD">
        <w:rPr>
          <w:noProof/>
          <w:color w:val="212121"/>
          <w:lang w:val="pt-PT" w:eastAsia="pt-BR"/>
        </w:rPr>
        <w:t>MICHAELOWA</w:t>
      </w:r>
      <w:r w:rsidRPr="00E83BAD">
        <w:rPr>
          <w:noProof/>
          <w:color w:val="212121"/>
          <w:lang w:val="pt-PT" w:eastAsia="pt-BR"/>
        </w:rPr>
        <w:t>, 2012)</w:t>
      </w:r>
      <w:r w:rsidRPr="00E83BAD">
        <w:rPr>
          <w:color w:val="212121"/>
          <w:lang w:val="pt-PT" w:eastAsia="pt-BR"/>
        </w:rPr>
        <w:fldChar w:fldCharType="end"/>
      </w:r>
      <w:r w:rsidRPr="00E83BAD">
        <w:rPr>
          <w:color w:val="212121"/>
          <w:lang w:val="pt-PT" w:eastAsia="pt-BR"/>
        </w:rPr>
        <w:t xml:space="preserve">. </w:t>
      </w:r>
    </w:p>
    <w:p w14:paraId="32B06D28"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Questões como essas serão discutidas na seção seguinte em que são apresentadas a natureza dos projetos e as exigências para seu </w:t>
      </w:r>
      <w:proofErr w:type="gramStart"/>
      <w:r w:rsidRPr="00E83BAD">
        <w:rPr>
          <w:color w:val="212121"/>
          <w:lang w:val="pt-PT" w:eastAsia="pt-BR"/>
        </w:rPr>
        <w:t>registro</w:t>
      </w:r>
      <w:proofErr w:type="gramEnd"/>
      <w:r w:rsidRPr="00E83BAD">
        <w:rPr>
          <w:color w:val="212121"/>
          <w:lang w:val="pt-PT" w:eastAsia="pt-BR"/>
        </w:rPr>
        <w:t>.</w:t>
      </w:r>
    </w:p>
    <w:p w14:paraId="35586F7F"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p>
    <w:p w14:paraId="1CBA3E6B" w14:textId="77777777" w:rsidR="009A552F" w:rsidRPr="00E83BAD" w:rsidRDefault="009A552F" w:rsidP="00E83BAD">
      <w:pPr>
        <w:pStyle w:val="Heading2"/>
        <w:numPr>
          <w:ilvl w:val="1"/>
          <w:numId w:val="1"/>
        </w:numPr>
        <w:spacing w:before="0" w:line="240" w:lineRule="auto"/>
        <w:ind w:left="0" w:firstLine="709"/>
        <w:rPr>
          <w:szCs w:val="24"/>
        </w:rPr>
      </w:pPr>
      <w:r w:rsidRPr="00E83BAD">
        <w:rPr>
          <w:szCs w:val="24"/>
        </w:rPr>
        <w:t>Sistemas de Gestão de Resíduos Animais</w:t>
      </w:r>
    </w:p>
    <w:p w14:paraId="2FF95C33" w14:textId="5A12875E" w:rsidR="009A552F" w:rsidRPr="00E83BAD" w:rsidRDefault="009A552F" w:rsidP="00E83BAD">
      <w:pPr>
        <w:pStyle w:val="HTMLPreformatted"/>
        <w:shd w:val="clear" w:color="auto" w:fill="FFFFFF"/>
        <w:rPr>
          <w:rFonts w:ascii="Times New Roman" w:hAnsi="Times New Roman" w:cs="Times New Roman"/>
          <w:color w:val="212121"/>
          <w:sz w:val="24"/>
          <w:szCs w:val="24"/>
        </w:rPr>
      </w:pPr>
      <w:r w:rsidRPr="00E83BAD">
        <w:rPr>
          <w:rFonts w:ascii="Times New Roman" w:hAnsi="Times New Roman" w:cs="Times New Roman"/>
          <w:color w:val="212121"/>
          <w:sz w:val="24"/>
          <w:szCs w:val="24"/>
          <w:lang w:val="pt-PT"/>
        </w:rPr>
        <w:t xml:space="preserve">De acordo com o Departamento de Agricultura Americano (USDA) um sistema de gestão de resíduos animais é qualquer estrutura construída para coleta, transferência e armazenamento de resíduos gerados pela operação da porção confinada de animais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"abstract" : "Code 313 (No) DEFINITION An agricultural waste storage impoundment or containment made by constructing an embankment, excavating a pit or dugout, or by fabricating a structure. PURPOSE To store manure, agricultural by-products, wastewater, and contaminated runoff to provide the agricultural operation management flexibility for waste utilization. CONDITIONS WHERE PRACTICE APPLIES Use where regular storage is needed for wastes generated by agricultural production or processing and where soils, geology, and topography are suitable for construction of the facility. For reception pits, use the NRCS Conservation Practice Standard (CPS) Waste Transfer (Code 634). For liquid waste storage facilities implemented with an embankment, this practice applies only to low hazard structures as defined in the NRCS National Engineering Manual (NEM), Part 520.23. This practice does not apply to the storage of human waste or routine animal mortality. CRITERIA General Criteria Applicable to All Waste Storage Facilities. Laws and Regulations. Plan, design, and construct the waste storage facility to meet all Federal, State, and local laws and regulations. Location. Locate and design the waste storage facility such that it is outside the 100-year floodplain unless site restrictions require locating it within the floodplain. If located in the floodplain, protect the facility from inundation or damage from a 25-year flood event. Additionally, follow the policy found in the NRCS General Manual (GM) 190, Part 410.25, Flood Plain Management, which may require providing additional protection for storage structures located within the floodplain. Storage Period. The storage period is the maximum length of time anticipated between emptying events. Base the minimum storage period on the timing required for environmentally safe waste utilization considering the climate, crops, soil, equipment, and local, State, and Federal regulations. Design Storage Volume. Size the facility to store the following as appropriate: Operational Volume 313-CPS-2 NRCS, NHCP May 2016 \u2022 Manure, wastewater, bedding, and other wastes accumulated during the storage period. \u2022 For liquid or slurry storage facilities, include normal precipitation (omit diverted roof runoff) less evaporation during the storage period. \u2022 Normal runoff from the facility's drainage area during the storage period. \u2022 Planned maximum residual solids. Provide a minimum of 6 inches for tanks unless a sump or other device allows for complete \u2026", "author" : [ { "dropping-particle" : "", "family" : "USDA", "given" : "", "non-dropping-particle" : "", "parse-names" : false, "suffix" : "" } ], "id" : "ITEM-1", "issued" : { "date-parts" : [ [ "2016" ] ] }, "title" : "Conservation Practice Standard Waste Storage Facility (Code 313)", "type" : "article" }, "uris" : [ "http://www.mendeley.com/documents/?uuid=7a396584-9832-38a9-8d09-33a344f1f221", "http://www.mendeley.com/documents/?uuid=3bb84566-3ab8-46b3-8f9d-97fcf4a9b25d" ] }, { "id" : "ITEM-2", "itemData" : { "author" : [ { "dropping-particle" : "", "family" : "USDA", "given" : "", "non-dropping-particle" : "", "parse-names" : false, "suffix" : "" } ], "id" : "ITEM-2", "issued" : { "date-parts" : [ [ "2017" ] ] }, "title" : "Conservation Practice Standard Waste Storage Facility (Code 359)", "type" : "article" }, "uris" : [ "http://www.mendeley.com/documents/?uuid=307ebc1b-26da-33f0-8d76-becc52655445", "http://www.mendeley.com/documents/?uuid=f79420b1-0445-4cd0-821f-f5294a91a73f" ] } ], "mendeley" : { "formattedCitation" : "(USDA, 2016, 2017)", "plainTextFormattedCitation" : "(USDA, 2016, 2017)", "previouslyFormattedCitation" : "(USDA, 2016, 2017)"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(USDA, 2016, 2017)</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w:t>
      </w:r>
    </w:p>
    <w:p w14:paraId="0C52D564" w14:textId="13D669B6"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rPr>
        <w:t xml:space="preserve">Qualquer destas alternativas que reduzam as emissões de gases podem ser registradas como projetos de MDL. Os projetos poderão ainda produzir energia em geradores que utilizam o metano desses gases emitidos. </w:t>
      </w:r>
      <w:r w:rsidRPr="00E83BAD">
        <w:rPr>
          <w:rFonts w:ascii="Times New Roman" w:hAnsi="Times New Roman" w:cs="Times New Roman"/>
          <w:color w:val="212121"/>
          <w:sz w:val="24"/>
          <w:szCs w:val="24"/>
          <w:lang w:val="pt-PT"/>
        </w:rPr>
        <w:t xml:space="preserve">Para se ter uma ideia, estima-se que o potencial de energia elétrica que pode ser produzida no Brasil a partir do aproveitamento do gás dos resíduos animais é da ordem de 30TWh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"DOI" : "10.1016/j.rser.2010.07.018", "ISSN" : "13640321", "abstract" : "The present study presents an analysis of the options available for the mitigation of CO2 emissions in the Brazilian power sector. The objective is to verify the potential use of wastes for electrical energy generation and its competitiveness in comparison with other sources of renewable energy. A comparison was made using marginal abatement cost curves derived from a reference scenario obtained from earlier studies dealing with the expansion of the Brazilian power sector. The results showed that the availability of wastes is significant and that they can be used at a cost 20\u201360% lower than that of wind power generation, a subsidized source of energy in Brazil. It can therefore be concluded that it would be more efficient if incentives were applied to the use of wastes for electrical power generation since it offers socio-environmental benefits which go far beyond the reduction of CO2 emissions.", "author" : [ { "dropping-particle" : "", "family" : "Oliveira", "given" : "Luciano Basto", "non-dropping-particle" : "", "parse-names" : false, "suffix" : "" }, { "dropping-particle" : "", "family" : "Henriques", "given" : "Rachel Martins", "non-dropping-particle" : "", "parse-names" : false, "suffix" : "" }, { "dropping-particle" : "", "family" : "Pereira", "given" : "Amaro Olimpio", "non-dropping-particle" : "", "parse-names" : false, "suffix" : "" } ], "container-title" : "Renewable and Sustainable Energy Reviews", "id" : "ITEM-1", "issue" : "9", "issued" : { "date-parts" : [ [ "2010", "12" ] ] }, "page" : "3247-3251", "title" : "Use of wastes as option for the mitigation of CO2 emissions in the Brazilian power sector", "type" : "article-journal", "volume" : "14" }, "uris" : [ "http://www.mendeley.com/documents/?uuid=3e098dd1-a770-4e36-bef0-aeef57d4d79d", "http://www.mendeley.com/documents/?uuid=acdc15e2-7e8c-4e51-8dc8-910adcbedc94" ] } ], "mendeley" : { "formattedCitation" : "(Oliveira, Henriques, &amp; Pereira, 2010)", "plainTextFormattedCitation" : "(Oliveira, Henriques, &amp; Pereira, 2010)", "previouslyFormattedCitation" : "(OLIVEIRA; HENRIQUES; PEREIRA, 2010)"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008B4318" w:rsidRPr="00E83BAD">
        <w:rPr>
          <w:rFonts w:ascii="Times New Roman" w:hAnsi="Times New Roman" w:cs="Times New Roman"/>
          <w:noProof/>
          <w:color w:val="212121"/>
          <w:sz w:val="24"/>
          <w:szCs w:val="24"/>
          <w:lang w:val="pt-PT"/>
        </w:rPr>
        <w:t>(OLIVEIRA</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HENRIQUES</w:t>
      </w:r>
      <w:r w:rsidR="008B4318">
        <w:rPr>
          <w:rFonts w:ascii="Times New Roman" w:hAnsi="Times New Roman" w:cs="Times New Roman"/>
          <w:noProof/>
          <w:color w:val="212121"/>
          <w:sz w:val="24"/>
          <w:szCs w:val="24"/>
          <w:lang w:val="pt-PT"/>
        </w:rPr>
        <w:t>;</w:t>
      </w:r>
      <w:r w:rsidR="008B4318" w:rsidRPr="00E83BAD">
        <w:rPr>
          <w:rFonts w:ascii="Times New Roman" w:hAnsi="Times New Roman" w:cs="Times New Roman"/>
          <w:noProof/>
          <w:color w:val="212121"/>
          <w:sz w:val="24"/>
          <w:szCs w:val="24"/>
          <w:lang w:val="pt-PT"/>
        </w:rPr>
        <w:t xml:space="preserve"> PEREIRA</w:t>
      </w:r>
      <w:r w:rsidRPr="00E83BAD">
        <w:rPr>
          <w:rFonts w:ascii="Times New Roman" w:hAnsi="Times New Roman" w:cs="Times New Roman"/>
          <w:noProof/>
          <w:color w:val="212121"/>
          <w:sz w:val="24"/>
          <w:szCs w:val="24"/>
          <w:lang w:val="pt-PT"/>
        </w:rPr>
        <w:t>, 2010)</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w:t>
      </w:r>
    </w:p>
    <w:p w14:paraId="60D10E08"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Para serem </w:t>
      </w:r>
      <w:proofErr w:type="gramStart"/>
      <w:r w:rsidRPr="00E83BAD">
        <w:rPr>
          <w:rFonts w:ascii="Times New Roman" w:hAnsi="Times New Roman" w:cs="Times New Roman"/>
          <w:color w:val="212121"/>
          <w:sz w:val="24"/>
          <w:szCs w:val="24"/>
          <w:lang w:val="pt-PT"/>
        </w:rPr>
        <w:t>registrados</w:t>
      </w:r>
      <w:proofErr w:type="gramEnd"/>
      <w:r w:rsidRPr="00E83BAD">
        <w:rPr>
          <w:rFonts w:ascii="Times New Roman" w:hAnsi="Times New Roman" w:cs="Times New Roman"/>
          <w:color w:val="212121"/>
          <w:sz w:val="24"/>
          <w:szCs w:val="24"/>
          <w:lang w:val="pt-PT"/>
        </w:rPr>
        <w:t xml:space="preserve">, no entanto, estes projetos deverão seguir regras e referências da UNFCCC elaboradas para tais resíduos. Essas regras e referências compõem a metodologia ACM0010: emissões de GEE de sistemas de resíduos animais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"UNFCCC", "given" : "", "non-dropping-particle" : "", "parse-names" : false, "suffix" : "" } ], "container-title" : "ACM0010: GHG emission reductions from manure management systems --- Version 8.0", "id" : "ITEM-1", "issued" : { "date-parts" : [ [ "2017" ] ] }, "title" : "CDM: GHG emission reductions from manure management systems --- Version 8.0", "type" : "webpage" }, "uris" : [ "http://www.mendeley.com/documents/?uuid=ddef6f0f-eebc-3ecb-8179-cd1688d787d3", "http://www.mendeley.com/documents/?uuid=d95be243-5985-400e-aa92-14512e7c1318" ] } ], "mendeley" : { "formattedCitation" : "(UNFCCC, 2017)", "plainTextFormattedCitation" : "(UNFCCC, 2017)", "previouslyFormattedCitation" : "(UNFCCC, 2017)"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(UNFCCC, 2017)</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Como os projetos de MDL são essencialmente projetos de redução de emissões, é necessário que os projetistas provem que, com relação a um cenário base (baseline), o projeto reduzirá as emissões, ou a sua chamada ‘adicionalidade’ (</w:t>
      </w:r>
      <w:r w:rsidRPr="00E83BAD">
        <w:rPr>
          <w:rFonts w:ascii="Times New Roman" w:hAnsi="Times New Roman" w:cs="Times New Roman"/>
          <w:i/>
          <w:color w:val="212121"/>
          <w:sz w:val="24"/>
          <w:szCs w:val="24"/>
          <w:lang w:val="pt-PT"/>
        </w:rPr>
        <w:t>additionality</w:t>
      </w:r>
      <w:r w:rsidRPr="00E83BAD">
        <w:rPr>
          <w:rFonts w:ascii="Times New Roman" w:hAnsi="Times New Roman" w:cs="Times New Roman"/>
          <w:color w:val="212121"/>
          <w:sz w:val="24"/>
          <w:szCs w:val="24"/>
          <w:lang w:val="pt-PT"/>
        </w:rPr>
        <w:t xml:space="preserve">). A adicionalidade é identificada seguindo-se uma outra ferramenta  metodologica (TOOL2) criada para este fim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"UNFCCC", "given" : "", "non-dropping-particle" : "", "parse-names" : false, "suffix" : "" } ], "id" : "ITEM-1", "issued" : { "date-parts" : [ [ "2012" ] ] }, "page" : "1-18", "title" : "Methodological tool Combined tool to identify the baseline scenario and demonstrate additionality", "type" : "webpage" }, "uris" : [ "http://www.mendeley.com/documents/?uuid=888da062-4ea4-4032-9c24-dfa2dae8d8c7", "http://www.mendeley.com/documents/?uuid=9c78372d-66b5-48b7-a9d4-092be73085f9" ] } ], "mendeley" : { "formattedCitation" : "(UNFCCC, 2012)", "plainTextFormattedCitation" : "(UNFCCC, 2012)", "previouslyFormattedCitation" : "(UNFCCC, 2012)"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(UNFCCC, 2012)</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w:t>
      </w:r>
    </w:p>
    <w:p w14:paraId="4F14254B"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É esta ferramenta para identificar o cenário base e demonstrar adicionalidade, que estabelece as etapas que devem ser cumpridas para que um projeto seja </w:t>
      </w:r>
      <w:proofErr w:type="gramStart"/>
      <w:r w:rsidRPr="00E83BAD">
        <w:rPr>
          <w:rFonts w:ascii="Times New Roman" w:hAnsi="Times New Roman" w:cs="Times New Roman"/>
          <w:color w:val="212121"/>
          <w:sz w:val="24"/>
          <w:szCs w:val="24"/>
          <w:lang w:val="pt-PT"/>
        </w:rPr>
        <w:t>registrado</w:t>
      </w:r>
      <w:proofErr w:type="gramEnd"/>
      <w:r w:rsidRPr="00E83BAD">
        <w:rPr>
          <w:rFonts w:ascii="Times New Roman" w:hAnsi="Times New Roman" w:cs="Times New Roman"/>
          <w:color w:val="212121"/>
          <w:sz w:val="24"/>
          <w:szCs w:val="24"/>
          <w:lang w:val="pt-PT"/>
        </w:rPr>
        <w:t xml:space="preserve"> como um projeto MDL. São eles, (1) identificação dos cenários alternativos a proposta do projeto, (2) análises das barreiras dos cenários alternativos e sua eliminação, (3) análise de investimento, (4) análise da prática comum (no país).</w:t>
      </w:r>
    </w:p>
    <w:p w14:paraId="52E786A9" w14:textId="13E00781"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De especial interesse aos objetivos do estudo está a etapa 3. Que define ser necessário, “identificar um indicador financeiro, como a TIR, VPL, razão custo-benefício, custo unitário dos serviços [...] mais adequado ao projeto e ao contexto decisório”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"UNFCCC", "given" : "", "non-dropping-particle" : "", "parse-names" : false, "suffix" : "" } ], "id" : "ITEM-1", "issued" : { "date-parts" : [ [ "2012" ] ] }, "page" : "1-18", "title" : "Methodological tool Combined tool to identify the baseline scenario and demonstrate additionality", "type" : "webpage" }, "uris" : [ "http://www.mendeley.com/documents/?uuid=9c78372d-66b5-48b7-a9d4-092be73085f9", "http://www.mendeley.com/documents/?uuid=888da062-4ea4-4032-9c24-dfa2dae8d8c7" ] } ], "mendeley" : { "formattedCitation" : "(UNFCCC, 2012)", "plainTextFormattedCitation" : "(UNFCCC, 2012)", "previouslyFormattedCitation" : "(UNFCCC, 2012, p. 13)"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(UNFCCC, 2012)</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Para seu c</w:t>
      </w:r>
      <w:r w:rsidR="00FA1C0A">
        <w:rPr>
          <w:rFonts w:ascii="Times New Roman" w:hAnsi="Times New Roman" w:cs="Times New Roman"/>
          <w:color w:val="212121"/>
          <w:sz w:val="24"/>
          <w:szCs w:val="24"/>
          <w:lang w:val="pt-PT"/>
        </w:rPr>
        <w:t>á</w:t>
      </w:r>
      <w:r w:rsidRPr="00E83BAD">
        <w:rPr>
          <w:rFonts w:ascii="Times New Roman" w:hAnsi="Times New Roman" w:cs="Times New Roman"/>
          <w:color w:val="212121"/>
          <w:sz w:val="24"/>
          <w:szCs w:val="24"/>
          <w:lang w:val="pt-PT"/>
        </w:rPr>
        <w:t>lculo, deve incluir todos os custos e receitas relevantes, e se apropriado, medidas de não-mercado se for prática padrão para escolha de investimentos públicos.</w:t>
      </w:r>
    </w:p>
    <w:p w14:paraId="1725E820" w14:textId="28FB5507" w:rsidR="009A552F" w:rsidRDefault="009A552F" w:rsidP="00E83BAD">
      <w:pPr>
        <w:pStyle w:val="HTMLPreformatted"/>
        <w:shd w:val="clear" w:color="auto" w:fill="FFFFFF"/>
        <w:rPr>
          <w:rFonts w:ascii="Times New Roman" w:hAnsi="Times New Roman" w:cs="Times New Roman"/>
          <w:color w:val="212121"/>
          <w:sz w:val="24"/>
          <w:szCs w:val="24"/>
        </w:rPr>
      </w:pPr>
      <w:r w:rsidRPr="00E83BAD">
        <w:rPr>
          <w:rFonts w:ascii="Times New Roman" w:hAnsi="Times New Roman" w:cs="Times New Roman"/>
          <w:color w:val="212121"/>
          <w:sz w:val="24"/>
          <w:szCs w:val="24"/>
        </w:rPr>
        <w:t xml:space="preserve">Por fim, na questão das análises financeiras, a UNFCCC disponibiliza uma outra referência (TOOL27) onde fornece os requisitos na preparação, apresentação e validação da análise de investimento </w:t>
      </w:r>
      <w:r w:rsidRPr="00E83BAD">
        <w:rPr>
          <w:rFonts w:ascii="Times New Roman" w:hAnsi="Times New Roman" w:cs="Times New Roman"/>
          <w:color w:val="212121"/>
          <w:sz w:val="24"/>
          <w:szCs w:val="24"/>
        </w:rPr>
        <w:fldChar w:fldCharType="begin" w:fldLock="1"/>
      </w:r>
      <w:r w:rsidRPr="00E83BAD">
        <w:rPr>
          <w:rFonts w:ascii="Times New Roman" w:hAnsi="Times New Roman" w:cs="Times New Roman"/>
          <w:color w:val="212121"/>
          <w:sz w:val="24"/>
          <w:szCs w:val="24"/>
        </w:rPr>
        <w:instrText>ADDIN CSL_CITATION { "citationItems" : [ { "id" : "ITEM-1", "itemData" : { "author" : [ { "dropping-particle" : "", "family" : "UNFCCC", "given" : "", "non-dropping-particle" : "", "parse-names" : false, "suffix" : "" } ], "id" : "ITEM-1", "issued" : { "date-parts" : [ [ "2016" ] ] }, "title" : "Methodological tool Investment analysis", "type" : "article" }, "uris" : [ "http://www.mendeley.com/documents/?uuid=9f818765-caa5-32c9-aa93-534dbc0f3e4b", "http://www.mendeley.com/documents/?uuid=650dd9f7-783c-4bf4-b9af-1e1b0e9d7d25" ] } ], "mendeley" : { "formattedCitation" : "(UNFCCC, 2016)", "plainTextFormattedCitation" : "(UNFCCC, 2016)", "previouslyFormattedCitation" : "(UNFCCC, 2016)" }, "properties" : {  }, "schema" : "https://github.com/citation-style-language/schema/raw/master/csl-citation.json" }</w:instrText>
      </w:r>
      <w:r w:rsidRPr="00E83BAD">
        <w:rPr>
          <w:rFonts w:ascii="Times New Roman" w:hAnsi="Times New Roman" w:cs="Times New Roman"/>
          <w:color w:val="212121"/>
          <w:sz w:val="24"/>
          <w:szCs w:val="24"/>
        </w:rPr>
        <w:fldChar w:fldCharType="separate"/>
      </w:r>
      <w:r w:rsidRPr="00E83BAD">
        <w:rPr>
          <w:rFonts w:ascii="Times New Roman" w:hAnsi="Times New Roman" w:cs="Times New Roman"/>
          <w:noProof/>
          <w:color w:val="212121"/>
          <w:sz w:val="24"/>
          <w:szCs w:val="24"/>
        </w:rPr>
        <w:t>(UNFCCC, 2016)</w:t>
      </w:r>
      <w:r w:rsidRPr="00E83BAD">
        <w:rPr>
          <w:rFonts w:ascii="Times New Roman" w:hAnsi="Times New Roman" w:cs="Times New Roman"/>
          <w:color w:val="212121"/>
          <w:sz w:val="24"/>
          <w:szCs w:val="24"/>
        </w:rPr>
        <w:fldChar w:fldCharType="end"/>
      </w:r>
      <w:r w:rsidRPr="00E83BAD">
        <w:rPr>
          <w:rFonts w:ascii="Times New Roman" w:hAnsi="Times New Roman" w:cs="Times New Roman"/>
          <w:color w:val="212121"/>
          <w:sz w:val="24"/>
          <w:szCs w:val="24"/>
        </w:rPr>
        <w:t>. Basicamente, trata-se de apenas 30 princípios que englobam o cálculo dos indicadores</w:t>
      </w:r>
      <w:r w:rsidRPr="00C14518">
        <w:rPr>
          <w:rFonts w:ascii="Times New Roman" w:hAnsi="Times New Roman" w:cs="Times New Roman"/>
          <w:color w:val="212121"/>
          <w:sz w:val="24"/>
          <w:szCs w:val="24"/>
        </w:rPr>
        <w:t>, o custo do capital a ser considerado, a medida de benchmark a que estes indicadores devem ser comparados e a como deve ser feita a análise de sensibilidade que compõe as análises financeiras principais.</w:t>
      </w:r>
    </w:p>
    <w:p w14:paraId="4CF9BF37" w14:textId="77777777" w:rsidR="002C7F46" w:rsidRPr="00E83BAD" w:rsidRDefault="002C7F46" w:rsidP="00E83BAD">
      <w:pPr>
        <w:pStyle w:val="HTMLPreformatted"/>
        <w:shd w:val="clear" w:color="auto" w:fill="FFFFFF"/>
        <w:rPr>
          <w:rFonts w:ascii="Times New Roman" w:hAnsi="Times New Roman" w:cs="Times New Roman"/>
          <w:color w:val="212121"/>
          <w:sz w:val="24"/>
          <w:szCs w:val="24"/>
        </w:rPr>
      </w:pPr>
    </w:p>
    <w:p w14:paraId="4A7C202D" w14:textId="77777777" w:rsidR="009A552F" w:rsidRPr="00E83BAD" w:rsidRDefault="009A552F" w:rsidP="00E83BAD">
      <w:pPr>
        <w:pStyle w:val="Heading2"/>
        <w:spacing w:before="0" w:line="240" w:lineRule="auto"/>
        <w:ind w:left="0" w:firstLine="709"/>
        <w:rPr>
          <w:szCs w:val="24"/>
        </w:rPr>
      </w:pPr>
      <w:r w:rsidRPr="00E83BAD">
        <w:rPr>
          <w:szCs w:val="24"/>
        </w:rPr>
        <w:t>M</w:t>
      </w:r>
      <w:r w:rsidR="006448C0" w:rsidRPr="00E83BAD">
        <w:rPr>
          <w:szCs w:val="24"/>
        </w:rPr>
        <w:t>ETODOLOGIA</w:t>
      </w:r>
    </w:p>
    <w:p w14:paraId="16EB46A7" w14:textId="77777777" w:rsidR="00FE5ED3" w:rsidRPr="00E83BAD" w:rsidRDefault="00FE5ED3" w:rsidP="00E83BAD">
      <w:pPr>
        <w:widowControl w:val="0"/>
        <w:autoSpaceDE w:val="0"/>
        <w:autoSpaceDN w:val="0"/>
        <w:adjustRightInd w:val="0"/>
        <w:ind w:firstLine="709"/>
        <w:jc w:val="both"/>
        <w:rPr>
          <w:noProof/>
        </w:rPr>
      </w:pPr>
      <w:r w:rsidRPr="00E83BAD">
        <w:rPr>
          <w:noProof/>
        </w:rPr>
        <w:t xml:space="preserve">Para o presente estudo foi utilizada a análise qualitativa, pois para uma compreensão mais aprofundada do problema e das possíveis soluções ou sugestões, a análise quantitativa se mostraria deficiente, pois não proporcionaria a profundidade pretendida. Além disso, os dados não apresentaram heterogeneidade suficiente para permitir que uma análise quantitativa útil para apoiar possíveis conclusões. Sendo assim, optou-se pela análise qualitativa intencionalmente.  </w:t>
      </w:r>
    </w:p>
    <w:p w14:paraId="5B022226" w14:textId="77777777" w:rsidR="009A552F" w:rsidRPr="00E83BAD" w:rsidRDefault="009A552F" w:rsidP="00E83BAD">
      <w:pPr>
        <w:pStyle w:val="ListParagraph"/>
        <w:spacing w:after="0" w:line="240" w:lineRule="auto"/>
        <w:ind w:left="0"/>
        <w:rPr>
          <w:color w:val="212121"/>
          <w:szCs w:val="24"/>
          <w:lang w:val="pt-PT"/>
        </w:rPr>
      </w:pPr>
      <w:r w:rsidRPr="00E83BAD">
        <w:rPr>
          <w:color w:val="212121"/>
          <w:szCs w:val="24"/>
          <w:lang w:val="pt-PT"/>
        </w:rPr>
        <w:t xml:space="preserve">Este trabalho foi desenvolvido recorrendo a análises de conteúdo de 37 projetos de MDL de </w:t>
      </w:r>
      <w:r w:rsidRPr="00E83BAD">
        <w:rPr>
          <w:i/>
          <w:szCs w:val="24"/>
        </w:rPr>
        <w:t xml:space="preserve">Animal </w:t>
      </w:r>
      <w:proofErr w:type="spellStart"/>
      <w:r w:rsidRPr="00E83BAD">
        <w:rPr>
          <w:i/>
          <w:szCs w:val="24"/>
        </w:rPr>
        <w:t>Waste</w:t>
      </w:r>
      <w:proofErr w:type="spellEnd"/>
      <w:r w:rsidRPr="00E83BAD">
        <w:rPr>
          <w:i/>
          <w:szCs w:val="24"/>
        </w:rPr>
        <w:t xml:space="preserve"> Management Systems </w:t>
      </w:r>
      <w:r w:rsidRPr="00E83BAD">
        <w:rPr>
          <w:szCs w:val="24"/>
        </w:rPr>
        <w:t xml:space="preserve">(AWMS). </w:t>
      </w:r>
      <w:r w:rsidRPr="00E83BAD">
        <w:rPr>
          <w:color w:val="212121"/>
          <w:szCs w:val="24"/>
          <w:lang w:val="pt-PT"/>
        </w:rPr>
        <w:t xml:space="preserve">Assim, foram analisadas qualitativamente (conteúdo e significado) as informações financeiras dos projetos em questão. Os dados foram extraídos da </w:t>
      </w:r>
      <w:r w:rsidRPr="00E83BAD">
        <w:rPr>
          <w:color w:val="212121"/>
          <w:szCs w:val="24"/>
          <w:lang w:val="pt-PT"/>
        </w:rPr>
        <w:lastRenderedPageBreak/>
        <w:t>ferramenta Pesquisa de Projetos (</w:t>
      </w:r>
      <w:r w:rsidRPr="00E83BAD">
        <w:rPr>
          <w:i/>
          <w:color w:val="212121"/>
          <w:szCs w:val="24"/>
          <w:lang w:val="pt-PT"/>
        </w:rPr>
        <w:t>Project Search</w:t>
      </w:r>
      <w:r w:rsidRPr="00E83BAD">
        <w:rPr>
          <w:color w:val="212121"/>
          <w:szCs w:val="24"/>
          <w:lang w:val="pt-PT"/>
        </w:rPr>
        <w:t xml:space="preserve">) da UNFCCC </w:t>
      </w:r>
      <w:r w:rsidRPr="00E83BAD">
        <w:rPr>
          <w:color w:val="212121"/>
          <w:szCs w:val="24"/>
          <w:lang w:val="pt-PT"/>
        </w:rPr>
        <w:fldChar w:fldCharType="begin" w:fldLock="1"/>
      </w:r>
      <w:r w:rsidRPr="00E83BAD">
        <w:rPr>
          <w:color w:val="212121"/>
          <w:szCs w:val="24"/>
          <w:lang w:val="pt-PT"/>
        </w:rPr>
        <w:instrText>ADDIN CSL_CITATION { "citationItems" : [ { "id" : "ITEM-1", "itemData" : { "author" : [ { "dropping-particle" : "", "family" : "UNFCCC", "given" : "", "non-dropping-particle" : "", "parse-names" : false, "suffix" : "" } ], "id" : "ITEM-1", "issued" : { "date-parts" : [ [ "2015" ] ] }, "title" : "CDM Project Search", "type" : "webpage" }, "uris" : [ "http://www.mendeley.com/documents/?uuid=c6b14b8e-b5ff-46c5-a868-450f54ac4622", "http://www.mendeley.com/documents/?uuid=b5fb295c-fff4-44fd-aa5f-78b9788f6fae" ] } ], "mendeley" : { "formattedCitation" : "(UNFCCC, 2015b)", "plainTextFormattedCitation" : "(UNFCCC, 2015b)", "previouslyFormattedCitation" : "(2015c)" }, "properties" : {  }, "schema" : "https://github.com/citation-style-language/schema/raw/master/csl-citation.json" }</w:instrText>
      </w:r>
      <w:r w:rsidRPr="00E83BAD">
        <w:rPr>
          <w:color w:val="212121"/>
          <w:szCs w:val="24"/>
          <w:lang w:val="pt-PT"/>
        </w:rPr>
        <w:fldChar w:fldCharType="separate"/>
      </w:r>
      <w:r w:rsidRPr="00E83BAD">
        <w:rPr>
          <w:noProof/>
          <w:color w:val="212121"/>
          <w:szCs w:val="24"/>
          <w:lang w:val="pt-PT"/>
        </w:rPr>
        <w:t>(UNFCCC, 2015b)</w:t>
      </w:r>
      <w:r w:rsidRPr="00E83BAD">
        <w:rPr>
          <w:color w:val="212121"/>
          <w:szCs w:val="24"/>
          <w:lang w:val="pt-PT"/>
        </w:rPr>
        <w:fldChar w:fldCharType="end"/>
      </w:r>
      <w:r w:rsidRPr="00E83BAD">
        <w:rPr>
          <w:color w:val="212121"/>
          <w:szCs w:val="24"/>
          <w:lang w:val="pt-PT"/>
        </w:rPr>
        <w:t xml:space="preserve"> usando os seguintes critérios: "AWMS" para título, "Todos" para escala e "Todos" para status. </w:t>
      </w:r>
    </w:p>
    <w:p w14:paraId="7BE4EF75" w14:textId="4048D232"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Todos os projetos de AWMS são classificados no setor de Manejo e disposição de resíduos (13) seguem um padrão e com valores estimados pela AgCert </w:t>
      </w:r>
      <w:r w:rsidRPr="00E83BAD">
        <w:rPr>
          <w:rFonts w:ascii="Times New Roman" w:hAnsi="Times New Roman" w:cs="Times New Roman"/>
          <w:color w:val="212121"/>
          <w:sz w:val="24"/>
          <w:szCs w:val="24"/>
          <w:lang w:val="pt-PT"/>
        </w:rPr>
        <w:fldChar w:fldCharType="begin" w:fldLock="1"/>
      </w:r>
      <w:r w:rsidRPr="00E83BAD">
        <w:rPr>
          <w:rFonts w:ascii="Times New Roman" w:hAnsi="Times New Roman" w:cs="Times New Roman"/>
          <w:color w:val="212121"/>
          <w:sz w:val="24"/>
          <w:szCs w:val="24"/>
          <w:lang w:val="pt-PT"/>
        </w:rPr>
        <w:instrText>ADDIN CSL_CITATION { "citationItems" : [ { "id" : "ITEM-1", "itemData" : { "author" : [ { "dropping-particle" : "", "family" : "AgCert", "given" : "", "non-dropping-particle" : "", "parse-names" : false, "suffix" : "" } ], "id" : "ITEM-1", "issued" : { "date-parts" : [ [ "2017" ] ] }, "title" : "About our site AgCert", "type" : "webpage" }, "suppress-author" : 1, "uris" : [ "http://www.mendeley.com/documents/?uuid=6fefad22-a12b-3c33-816b-ab63f9649ef7", "http://www.mendeley.com/documents/?uuid=8a4cf92a-2f01-4fa0-8c38-f4b49afe57ae" ] } ], "mendeley" : { "formattedCitation" : "(2017)", "plainTextFormattedCitation" : "(2017)", "previouslyFormattedCitation" : "(2017)" }, "properties" : {  }, "schema" : "https://github.com/citation-style-language/schema/raw/master/csl-citation.json" }</w:instrText>
      </w:r>
      <w:r w:rsidRPr="00E83BAD">
        <w:rPr>
          <w:rFonts w:ascii="Times New Roman" w:hAnsi="Times New Roman" w:cs="Times New Roman"/>
          <w:color w:val="212121"/>
          <w:sz w:val="24"/>
          <w:szCs w:val="24"/>
          <w:lang w:val="pt-PT"/>
        </w:rPr>
        <w:fldChar w:fldCharType="separate"/>
      </w:r>
      <w:r w:rsidRPr="00E83BAD">
        <w:rPr>
          <w:rFonts w:ascii="Times New Roman" w:hAnsi="Times New Roman" w:cs="Times New Roman"/>
          <w:noProof/>
          <w:color w:val="212121"/>
          <w:sz w:val="24"/>
          <w:szCs w:val="24"/>
          <w:lang w:val="pt-PT"/>
        </w:rPr>
        <w:t>(2017)</w:t>
      </w:r>
      <w:r w:rsidRPr="00E83BAD">
        <w:rPr>
          <w:rFonts w:ascii="Times New Roman" w:hAnsi="Times New Roman" w:cs="Times New Roman"/>
          <w:color w:val="212121"/>
          <w:sz w:val="24"/>
          <w:szCs w:val="24"/>
          <w:lang w:val="pt-PT"/>
        </w:rPr>
        <w:fldChar w:fldCharType="end"/>
      </w:r>
      <w:r w:rsidRPr="00E83BAD">
        <w:rPr>
          <w:rFonts w:ascii="Times New Roman" w:hAnsi="Times New Roman" w:cs="Times New Roman"/>
          <w:color w:val="212121"/>
          <w:sz w:val="24"/>
          <w:szCs w:val="24"/>
          <w:lang w:val="pt-PT"/>
        </w:rPr>
        <w:t xml:space="preserve">, empresa que elaborou todos os projetos. </w:t>
      </w:r>
      <w:r w:rsidR="00CE23ED">
        <w:rPr>
          <w:rFonts w:ascii="Times New Roman" w:hAnsi="Times New Roman" w:cs="Times New Roman"/>
          <w:color w:val="212121"/>
          <w:sz w:val="24"/>
          <w:szCs w:val="24"/>
          <w:lang w:val="pt-PT"/>
        </w:rPr>
        <w:t>O fato de haver uma única empresa em todos os projetos pode ser vista como uma limitação do estudo.</w:t>
      </w:r>
    </w:p>
    <w:p w14:paraId="18C34BAD"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 AgCert, sediada na Irlanda, foi fundada em 2002 com o propósito específico de gerar reduções de emissões de Gases com Efeito de Estufa (GEE) de grande escala e os sistemas e processos incluíram uma metodologia aprovada pelas Nações Unidas para a redução de emissões de GEE de AWMS. A AgCert que produziu exclusivamente projetos de deste tipo, os desenvolveu no Brasil, México, Argentina e Chile. Porém, atualmente, a entidade está em processo de falência e responde </w:t>
      </w:r>
      <w:proofErr w:type="gramStart"/>
      <w:r w:rsidRPr="00E83BAD">
        <w:rPr>
          <w:rFonts w:ascii="Times New Roman" w:hAnsi="Times New Roman" w:cs="Times New Roman"/>
          <w:color w:val="212121"/>
          <w:sz w:val="24"/>
          <w:szCs w:val="24"/>
          <w:lang w:val="pt-PT"/>
        </w:rPr>
        <w:t>à</w:t>
      </w:r>
      <w:proofErr w:type="gramEnd"/>
      <w:r w:rsidRPr="00E83BAD">
        <w:rPr>
          <w:rFonts w:ascii="Times New Roman" w:hAnsi="Times New Roman" w:cs="Times New Roman"/>
          <w:color w:val="212121"/>
          <w:sz w:val="24"/>
          <w:szCs w:val="24"/>
          <w:lang w:val="pt-PT"/>
        </w:rPr>
        <w:t xml:space="preserve"> esses processos nos diferentes países em que atuava.</w:t>
      </w:r>
    </w:p>
    <w:p w14:paraId="173ADC2E"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Os dados financeiros disponíveis foram os valores exatos de Receita, do Valor Presente Líquido (</w:t>
      </w:r>
      <w:r w:rsidRPr="00E83BAD">
        <w:rPr>
          <w:rFonts w:ascii="Times New Roman" w:hAnsi="Times New Roman" w:cs="Times New Roman"/>
          <w:i/>
          <w:color w:val="212121"/>
          <w:sz w:val="24"/>
          <w:szCs w:val="24"/>
          <w:lang w:val="pt-PT"/>
        </w:rPr>
        <w:t>Net Present Value</w:t>
      </w:r>
      <w:r w:rsidRPr="00E83BAD">
        <w:rPr>
          <w:rFonts w:ascii="Times New Roman" w:hAnsi="Times New Roman" w:cs="Times New Roman"/>
          <w:color w:val="212121"/>
          <w:sz w:val="24"/>
          <w:szCs w:val="24"/>
          <w:lang w:val="pt-PT"/>
        </w:rPr>
        <w:t xml:space="preserve"> – NPV</w:t>
      </w:r>
      <w:proofErr w:type="gramStart"/>
      <w:r w:rsidRPr="00E83BAD">
        <w:rPr>
          <w:rFonts w:ascii="Times New Roman" w:hAnsi="Times New Roman" w:cs="Times New Roman"/>
          <w:color w:val="212121"/>
          <w:sz w:val="24"/>
          <w:szCs w:val="24"/>
          <w:lang w:val="pt-PT"/>
        </w:rPr>
        <w:t>),  investimentos</w:t>
      </w:r>
      <w:proofErr w:type="gramEnd"/>
      <w:r w:rsidRPr="00E83BAD">
        <w:rPr>
          <w:rFonts w:ascii="Times New Roman" w:hAnsi="Times New Roman" w:cs="Times New Roman"/>
          <w:color w:val="212121"/>
          <w:sz w:val="24"/>
          <w:szCs w:val="24"/>
          <w:lang w:val="pt-PT"/>
        </w:rPr>
        <w:t xml:space="preserve"> – </w:t>
      </w:r>
      <w:r w:rsidRPr="00E83BAD">
        <w:rPr>
          <w:rFonts w:ascii="Times New Roman" w:hAnsi="Times New Roman" w:cs="Times New Roman"/>
          <w:i/>
          <w:color w:val="212121"/>
          <w:sz w:val="24"/>
          <w:szCs w:val="24"/>
          <w:lang w:val="pt-PT"/>
        </w:rPr>
        <w:t xml:space="preserve">Capital Expenditure </w:t>
      </w:r>
      <w:r w:rsidRPr="00E83BAD">
        <w:rPr>
          <w:rFonts w:ascii="Times New Roman" w:hAnsi="Times New Roman" w:cs="Times New Roman"/>
          <w:color w:val="212121"/>
          <w:sz w:val="24"/>
          <w:szCs w:val="24"/>
          <w:lang w:val="pt-PT"/>
        </w:rPr>
        <w:t xml:space="preserve">(CAPEX) – e de despesas operacionais – </w:t>
      </w:r>
      <w:r w:rsidRPr="00E83BAD">
        <w:rPr>
          <w:rFonts w:ascii="Times New Roman" w:hAnsi="Times New Roman" w:cs="Times New Roman"/>
          <w:i/>
          <w:color w:val="212121"/>
          <w:sz w:val="24"/>
          <w:szCs w:val="24"/>
          <w:lang w:val="pt-PT"/>
        </w:rPr>
        <w:t>Operational Expenditure</w:t>
      </w:r>
      <w:r w:rsidRPr="00E83BAD">
        <w:rPr>
          <w:rFonts w:ascii="Times New Roman" w:hAnsi="Times New Roman" w:cs="Times New Roman"/>
          <w:color w:val="212121"/>
          <w:sz w:val="24"/>
          <w:szCs w:val="24"/>
          <w:lang w:val="pt-PT"/>
        </w:rPr>
        <w:t xml:space="preserve"> (OPEX).</w:t>
      </w:r>
    </w:p>
    <w:p w14:paraId="481D8A41"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O número total de projetos disponíveis atualmente no </w:t>
      </w:r>
      <w:r w:rsidRPr="00E83BAD">
        <w:rPr>
          <w:rFonts w:ascii="Times New Roman" w:hAnsi="Times New Roman" w:cs="Times New Roman"/>
          <w:i/>
          <w:color w:val="212121"/>
          <w:sz w:val="24"/>
          <w:szCs w:val="24"/>
          <w:lang w:val="pt-PT"/>
        </w:rPr>
        <w:t xml:space="preserve">site </w:t>
      </w:r>
      <w:r w:rsidRPr="00E83BAD">
        <w:rPr>
          <w:rFonts w:ascii="Times New Roman" w:hAnsi="Times New Roman" w:cs="Times New Roman"/>
          <w:color w:val="212121"/>
          <w:sz w:val="24"/>
          <w:szCs w:val="24"/>
          <w:lang w:val="pt-PT"/>
        </w:rPr>
        <w:t>MDL são 103 e as estatísticas descritivas dos Projetos são apresentadas na Tabela 1:</w:t>
      </w:r>
    </w:p>
    <w:p w14:paraId="304DCCA3" w14:textId="77777777" w:rsidR="009A552F" w:rsidRPr="00E83BAD" w:rsidRDefault="009A552F" w:rsidP="00E83BAD">
      <w:pPr>
        <w:pStyle w:val="HTMLPreformatted"/>
        <w:shd w:val="clear" w:color="auto" w:fill="FFFFFF"/>
        <w:spacing w:after="120"/>
        <w:ind w:firstLine="567"/>
        <w:rPr>
          <w:rFonts w:ascii="Times New Roman" w:hAnsi="Times New Roman" w:cs="Times New Roman"/>
          <w:color w:val="212121"/>
          <w:sz w:val="24"/>
          <w:szCs w:val="24"/>
          <w:lang w:val="pt-PT"/>
        </w:rPr>
      </w:pPr>
    </w:p>
    <w:p w14:paraId="33B047B5" w14:textId="77777777" w:rsidR="009A552F" w:rsidRPr="00E83BAD" w:rsidRDefault="009A552F" w:rsidP="0079285B">
      <w:pPr>
        <w:pStyle w:val="HTMLPreformatted"/>
        <w:shd w:val="clear" w:color="auto" w:fill="FFFFFF"/>
        <w:ind w:firstLine="0"/>
        <w:jc w:val="left"/>
        <w:rPr>
          <w:rFonts w:ascii="Times New Roman" w:hAnsi="Times New Roman" w:cs="Times New Roman"/>
          <w:b/>
          <w:color w:val="212121"/>
          <w:sz w:val="24"/>
          <w:szCs w:val="24"/>
        </w:rPr>
      </w:pPr>
      <w:r w:rsidRPr="00E83BAD">
        <w:rPr>
          <w:rFonts w:ascii="Times New Roman" w:hAnsi="Times New Roman" w:cs="Times New Roman"/>
          <w:b/>
          <w:color w:val="212121"/>
          <w:sz w:val="24"/>
          <w:szCs w:val="24"/>
          <w:lang w:val="pt-PT"/>
        </w:rPr>
        <w:t>Tabela 1</w:t>
      </w:r>
      <w:r w:rsidRPr="00E83BAD">
        <w:rPr>
          <w:rFonts w:ascii="Times New Roman" w:hAnsi="Times New Roman" w:cs="Times New Roman"/>
          <w:b/>
          <w:color w:val="212121"/>
          <w:sz w:val="24"/>
          <w:szCs w:val="24"/>
        </w:rPr>
        <w:t>: Estatísticas Descritivas dos Projetos</w:t>
      </w:r>
    </w:p>
    <w:tbl>
      <w:tblPr>
        <w:tblW w:w="5000" w:type="pct"/>
        <w:tblLayout w:type="fixed"/>
        <w:tblCellMar>
          <w:left w:w="70" w:type="dxa"/>
          <w:right w:w="70" w:type="dxa"/>
        </w:tblCellMar>
        <w:tblLook w:val="04A0" w:firstRow="1" w:lastRow="0" w:firstColumn="1" w:lastColumn="0" w:noHBand="0" w:noVBand="1"/>
      </w:tblPr>
      <w:tblGrid>
        <w:gridCol w:w="1657"/>
        <w:gridCol w:w="2688"/>
        <w:gridCol w:w="1465"/>
        <w:gridCol w:w="1135"/>
        <w:gridCol w:w="1702"/>
        <w:gridCol w:w="991"/>
      </w:tblGrid>
      <w:tr w:rsidR="00CE23ED" w:rsidRPr="00CE23ED" w14:paraId="109CBD73" w14:textId="77777777" w:rsidTr="0079285B">
        <w:trPr>
          <w:trHeight w:val="300"/>
        </w:trPr>
        <w:tc>
          <w:tcPr>
            <w:tcW w:w="2253" w:type="pct"/>
            <w:gridSpan w:val="2"/>
            <w:tcBorders>
              <w:top w:val="single" w:sz="4" w:space="0" w:color="auto"/>
              <w:bottom w:val="single" w:sz="4" w:space="0" w:color="auto"/>
              <w:right w:val="single" w:sz="4" w:space="0" w:color="000000"/>
            </w:tcBorders>
            <w:shd w:val="clear" w:color="auto" w:fill="auto"/>
            <w:vAlign w:val="center"/>
            <w:hideMark/>
          </w:tcPr>
          <w:p w14:paraId="0CBBB0F7"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Estatísticas Descritivas dos Projetos</w:t>
            </w:r>
          </w:p>
        </w:tc>
        <w:tc>
          <w:tcPr>
            <w:tcW w:w="134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780AEC7"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Total</w:t>
            </w:r>
          </w:p>
        </w:tc>
        <w:tc>
          <w:tcPr>
            <w:tcW w:w="1397" w:type="pct"/>
            <w:gridSpan w:val="2"/>
            <w:tcBorders>
              <w:top w:val="single" w:sz="4" w:space="0" w:color="auto"/>
              <w:left w:val="nil"/>
              <w:bottom w:val="single" w:sz="4" w:space="0" w:color="auto"/>
            </w:tcBorders>
            <w:shd w:val="clear" w:color="auto" w:fill="auto"/>
            <w:noWrap/>
            <w:vAlign w:val="center"/>
            <w:hideMark/>
          </w:tcPr>
          <w:p w14:paraId="3EBDC0DD"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Projetos de Larga Escala</w:t>
            </w:r>
          </w:p>
        </w:tc>
      </w:tr>
      <w:tr w:rsidR="00CE23ED" w:rsidRPr="00CE23ED" w14:paraId="14F61D93" w14:textId="77777777" w:rsidTr="0079285B">
        <w:trPr>
          <w:trHeight w:val="570"/>
        </w:trPr>
        <w:tc>
          <w:tcPr>
            <w:tcW w:w="859" w:type="pct"/>
            <w:tcBorders>
              <w:top w:val="nil"/>
              <w:bottom w:val="single" w:sz="4" w:space="0" w:color="auto"/>
              <w:right w:val="nil"/>
            </w:tcBorders>
            <w:shd w:val="clear" w:color="auto" w:fill="auto"/>
            <w:vAlign w:val="center"/>
            <w:hideMark/>
          </w:tcPr>
          <w:p w14:paraId="681C8C1D"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Critério</w:t>
            </w:r>
          </w:p>
        </w:tc>
        <w:tc>
          <w:tcPr>
            <w:tcW w:w="1394" w:type="pct"/>
            <w:tcBorders>
              <w:top w:val="nil"/>
              <w:left w:val="single" w:sz="4" w:space="0" w:color="auto"/>
              <w:bottom w:val="single" w:sz="4" w:space="0" w:color="auto"/>
              <w:right w:val="single" w:sz="4" w:space="0" w:color="auto"/>
            </w:tcBorders>
            <w:shd w:val="clear" w:color="auto" w:fill="auto"/>
            <w:noWrap/>
            <w:vAlign w:val="center"/>
            <w:hideMark/>
          </w:tcPr>
          <w:p w14:paraId="2A381C3D"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Característica</w:t>
            </w:r>
          </w:p>
        </w:tc>
        <w:tc>
          <w:tcPr>
            <w:tcW w:w="760" w:type="pct"/>
            <w:tcBorders>
              <w:top w:val="nil"/>
              <w:left w:val="nil"/>
              <w:bottom w:val="single" w:sz="4" w:space="0" w:color="auto"/>
              <w:right w:val="nil"/>
            </w:tcBorders>
            <w:shd w:val="clear" w:color="auto" w:fill="auto"/>
            <w:vAlign w:val="center"/>
            <w:hideMark/>
          </w:tcPr>
          <w:p w14:paraId="45A0129F"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Valor Absoluto</w:t>
            </w:r>
          </w:p>
        </w:tc>
        <w:tc>
          <w:tcPr>
            <w:tcW w:w="589" w:type="pct"/>
            <w:tcBorders>
              <w:top w:val="nil"/>
              <w:left w:val="nil"/>
              <w:bottom w:val="nil"/>
              <w:right w:val="single" w:sz="4" w:space="0" w:color="auto"/>
            </w:tcBorders>
            <w:shd w:val="clear" w:color="auto" w:fill="auto"/>
            <w:vAlign w:val="center"/>
            <w:hideMark/>
          </w:tcPr>
          <w:p w14:paraId="28F73C06" w14:textId="3311FDD0"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c>
          <w:tcPr>
            <w:tcW w:w="883" w:type="pct"/>
            <w:tcBorders>
              <w:top w:val="nil"/>
              <w:left w:val="nil"/>
              <w:bottom w:val="single" w:sz="4" w:space="0" w:color="auto"/>
              <w:right w:val="nil"/>
            </w:tcBorders>
            <w:shd w:val="clear" w:color="auto" w:fill="auto"/>
            <w:vAlign w:val="center"/>
            <w:hideMark/>
          </w:tcPr>
          <w:p w14:paraId="2FC678FD"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Valor Absoluto</w:t>
            </w:r>
          </w:p>
        </w:tc>
        <w:tc>
          <w:tcPr>
            <w:tcW w:w="514" w:type="pct"/>
            <w:tcBorders>
              <w:top w:val="nil"/>
              <w:left w:val="nil"/>
              <w:bottom w:val="single" w:sz="4" w:space="0" w:color="auto"/>
            </w:tcBorders>
            <w:shd w:val="clear" w:color="auto" w:fill="auto"/>
            <w:vAlign w:val="center"/>
            <w:hideMark/>
          </w:tcPr>
          <w:p w14:paraId="6C1C4E56" w14:textId="5442EE6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r>
      <w:tr w:rsidR="00CE23ED" w:rsidRPr="00CE23ED" w14:paraId="62BD449C" w14:textId="77777777" w:rsidTr="0079285B">
        <w:trPr>
          <w:trHeight w:val="300"/>
        </w:trPr>
        <w:tc>
          <w:tcPr>
            <w:tcW w:w="859" w:type="pct"/>
            <w:vMerge w:val="restart"/>
            <w:tcBorders>
              <w:top w:val="nil"/>
              <w:bottom w:val="single" w:sz="4" w:space="0" w:color="000000"/>
              <w:right w:val="single" w:sz="4" w:space="0" w:color="auto"/>
            </w:tcBorders>
            <w:shd w:val="clear" w:color="auto" w:fill="auto"/>
            <w:vAlign w:val="center"/>
            <w:hideMark/>
          </w:tcPr>
          <w:p w14:paraId="40D94C45"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Ano de Registro</w:t>
            </w:r>
          </w:p>
        </w:tc>
        <w:tc>
          <w:tcPr>
            <w:tcW w:w="1394" w:type="pct"/>
            <w:tcBorders>
              <w:top w:val="nil"/>
              <w:left w:val="nil"/>
              <w:bottom w:val="nil"/>
              <w:right w:val="nil"/>
            </w:tcBorders>
            <w:shd w:val="clear" w:color="auto" w:fill="auto"/>
            <w:noWrap/>
            <w:vAlign w:val="center"/>
            <w:hideMark/>
          </w:tcPr>
          <w:p w14:paraId="6B4FD1EC" w14:textId="77777777" w:rsidR="009A552F" w:rsidRPr="00F94B09" w:rsidRDefault="009A552F" w:rsidP="00E83BAD">
            <w:pPr>
              <w:jc w:val="both"/>
              <w:rPr>
                <w:color w:val="000000"/>
                <w:sz w:val="20"/>
                <w:szCs w:val="20"/>
                <w:lang w:eastAsia="pt-BR"/>
              </w:rPr>
            </w:pPr>
            <w:r w:rsidRPr="00F94B09">
              <w:rPr>
                <w:color w:val="000000"/>
                <w:sz w:val="20"/>
                <w:szCs w:val="20"/>
                <w:lang w:eastAsia="pt-BR"/>
              </w:rPr>
              <w:t>2005</w:t>
            </w:r>
          </w:p>
        </w:tc>
        <w:tc>
          <w:tcPr>
            <w:tcW w:w="760" w:type="pct"/>
            <w:tcBorders>
              <w:top w:val="nil"/>
              <w:left w:val="single" w:sz="4" w:space="0" w:color="auto"/>
              <w:bottom w:val="nil"/>
              <w:right w:val="nil"/>
            </w:tcBorders>
            <w:shd w:val="clear" w:color="auto" w:fill="auto"/>
            <w:noWrap/>
            <w:vAlign w:val="center"/>
            <w:hideMark/>
          </w:tcPr>
          <w:p w14:paraId="70354949" w14:textId="77777777" w:rsidR="009A552F" w:rsidRPr="00F94B09" w:rsidRDefault="009A552F" w:rsidP="00F94B09">
            <w:pPr>
              <w:jc w:val="center"/>
              <w:rPr>
                <w:color w:val="000000"/>
                <w:sz w:val="20"/>
                <w:szCs w:val="20"/>
                <w:lang w:eastAsia="pt-BR"/>
              </w:rPr>
            </w:pPr>
            <w:r w:rsidRPr="00F94B09">
              <w:rPr>
                <w:color w:val="000000"/>
                <w:sz w:val="20"/>
                <w:szCs w:val="20"/>
                <w:lang w:eastAsia="pt-BR"/>
              </w:rPr>
              <w:t>4</w:t>
            </w:r>
          </w:p>
        </w:tc>
        <w:tc>
          <w:tcPr>
            <w:tcW w:w="589" w:type="pct"/>
            <w:tcBorders>
              <w:top w:val="single" w:sz="4" w:space="0" w:color="auto"/>
              <w:left w:val="nil"/>
              <w:bottom w:val="nil"/>
              <w:right w:val="single" w:sz="4" w:space="0" w:color="auto"/>
            </w:tcBorders>
            <w:shd w:val="clear" w:color="auto" w:fill="auto"/>
            <w:noWrap/>
            <w:vAlign w:val="center"/>
            <w:hideMark/>
          </w:tcPr>
          <w:p w14:paraId="47496DC8"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3,88%</w:t>
            </w:r>
          </w:p>
        </w:tc>
        <w:tc>
          <w:tcPr>
            <w:tcW w:w="883" w:type="pct"/>
            <w:tcBorders>
              <w:top w:val="nil"/>
              <w:left w:val="nil"/>
              <w:bottom w:val="nil"/>
              <w:right w:val="nil"/>
            </w:tcBorders>
            <w:shd w:val="clear" w:color="auto" w:fill="auto"/>
            <w:noWrap/>
            <w:vAlign w:val="center"/>
            <w:hideMark/>
          </w:tcPr>
          <w:p w14:paraId="670559A9"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w:t>
            </w:r>
          </w:p>
        </w:tc>
        <w:tc>
          <w:tcPr>
            <w:tcW w:w="514" w:type="pct"/>
            <w:tcBorders>
              <w:top w:val="nil"/>
              <w:left w:val="nil"/>
              <w:bottom w:val="nil"/>
            </w:tcBorders>
            <w:shd w:val="clear" w:color="auto" w:fill="auto"/>
            <w:noWrap/>
            <w:vAlign w:val="center"/>
            <w:hideMark/>
          </w:tcPr>
          <w:p w14:paraId="534D9796"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1,94%</w:t>
            </w:r>
          </w:p>
        </w:tc>
      </w:tr>
      <w:tr w:rsidR="00CE23ED" w:rsidRPr="00CE23ED" w14:paraId="61F4208A" w14:textId="77777777" w:rsidTr="0079285B">
        <w:trPr>
          <w:trHeight w:val="300"/>
        </w:trPr>
        <w:tc>
          <w:tcPr>
            <w:tcW w:w="859" w:type="pct"/>
            <w:vMerge/>
            <w:tcBorders>
              <w:top w:val="nil"/>
              <w:bottom w:val="single" w:sz="4" w:space="0" w:color="000000"/>
              <w:right w:val="single" w:sz="4" w:space="0" w:color="auto"/>
            </w:tcBorders>
            <w:vAlign w:val="center"/>
            <w:hideMark/>
          </w:tcPr>
          <w:p w14:paraId="11FDFCD3" w14:textId="77777777" w:rsidR="009A552F" w:rsidRPr="00F94B09" w:rsidRDefault="009A552F" w:rsidP="00E83BAD">
            <w:pPr>
              <w:jc w:val="both"/>
              <w:rPr>
                <w:b/>
                <w:bCs/>
                <w:color w:val="000000"/>
                <w:sz w:val="20"/>
                <w:szCs w:val="20"/>
                <w:lang w:eastAsia="pt-BR"/>
              </w:rPr>
            </w:pPr>
          </w:p>
        </w:tc>
        <w:tc>
          <w:tcPr>
            <w:tcW w:w="1394" w:type="pct"/>
            <w:tcBorders>
              <w:top w:val="nil"/>
              <w:left w:val="nil"/>
              <w:bottom w:val="nil"/>
              <w:right w:val="nil"/>
            </w:tcBorders>
            <w:shd w:val="clear" w:color="auto" w:fill="auto"/>
            <w:noWrap/>
            <w:vAlign w:val="center"/>
            <w:hideMark/>
          </w:tcPr>
          <w:p w14:paraId="57D8F08F" w14:textId="77777777" w:rsidR="009A552F" w:rsidRPr="00F94B09" w:rsidRDefault="009A552F" w:rsidP="00E83BAD">
            <w:pPr>
              <w:jc w:val="both"/>
              <w:rPr>
                <w:color w:val="000000"/>
                <w:sz w:val="20"/>
                <w:szCs w:val="20"/>
                <w:lang w:eastAsia="pt-BR"/>
              </w:rPr>
            </w:pPr>
            <w:r w:rsidRPr="00F94B09">
              <w:rPr>
                <w:color w:val="000000"/>
                <w:sz w:val="20"/>
                <w:szCs w:val="20"/>
                <w:lang w:eastAsia="pt-BR"/>
              </w:rPr>
              <w:t>2006</w:t>
            </w:r>
          </w:p>
        </w:tc>
        <w:tc>
          <w:tcPr>
            <w:tcW w:w="760" w:type="pct"/>
            <w:tcBorders>
              <w:top w:val="nil"/>
              <w:left w:val="single" w:sz="4" w:space="0" w:color="auto"/>
              <w:bottom w:val="nil"/>
              <w:right w:val="nil"/>
            </w:tcBorders>
            <w:shd w:val="clear" w:color="auto" w:fill="auto"/>
            <w:noWrap/>
            <w:vAlign w:val="center"/>
            <w:hideMark/>
          </w:tcPr>
          <w:p w14:paraId="389189D9" w14:textId="77777777" w:rsidR="009A552F" w:rsidRPr="00F94B09" w:rsidRDefault="009A552F" w:rsidP="00F94B09">
            <w:pPr>
              <w:jc w:val="center"/>
              <w:rPr>
                <w:color w:val="000000"/>
                <w:sz w:val="20"/>
                <w:szCs w:val="20"/>
                <w:lang w:eastAsia="pt-BR"/>
              </w:rPr>
            </w:pPr>
            <w:r w:rsidRPr="00F94B09">
              <w:rPr>
                <w:color w:val="000000"/>
                <w:sz w:val="20"/>
                <w:szCs w:val="20"/>
                <w:lang w:eastAsia="pt-BR"/>
              </w:rPr>
              <w:t>97</w:t>
            </w:r>
          </w:p>
        </w:tc>
        <w:tc>
          <w:tcPr>
            <w:tcW w:w="589" w:type="pct"/>
            <w:tcBorders>
              <w:top w:val="nil"/>
              <w:left w:val="nil"/>
              <w:bottom w:val="nil"/>
              <w:right w:val="single" w:sz="4" w:space="0" w:color="auto"/>
            </w:tcBorders>
            <w:shd w:val="clear" w:color="auto" w:fill="auto"/>
            <w:noWrap/>
            <w:vAlign w:val="center"/>
            <w:hideMark/>
          </w:tcPr>
          <w:p w14:paraId="426212E3" w14:textId="77777777" w:rsidR="009A552F" w:rsidRPr="00F94B09" w:rsidRDefault="009A552F" w:rsidP="00F94B09">
            <w:pPr>
              <w:jc w:val="center"/>
              <w:rPr>
                <w:color w:val="000000"/>
                <w:sz w:val="20"/>
                <w:szCs w:val="20"/>
                <w:lang w:eastAsia="pt-BR"/>
              </w:rPr>
            </w:pPr>
            <w:r w:rsidRPr="00F94B09">
              <w:rPr>
                <w:color w:val="000000"/>
                <w:sz w:val="20"/>
                <w:szCs w:val="20"/>
                <w:lang w:eastAsia="pt-BR"/>
              </w:rPr>
              <w:t>94,17%</w:t>
            </w:r>
          </w:p>
        </w:tc>
        <w:tc>
          <w:tcPr>
            <w:tcW w:w="883" w:type="pct"/>
            <w:tcBorders>
              <w:top w:val="nil"/>
              <w:left w:val="nil"/>
              <w:bottom w:val="nil"/>
              <w:right w:val="nil"/>
            </w:tcBorders>
            <w:shd w:val="clear" w:color="auto" w:fill="auto"/>
            <w:noWrap/>
            <w:vAlign w:val="center"/>
            <w:hideMark/>
          </w:tcPr>
          <w:p w14:paraId="477B6C20"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37</w:t>
            </w:r>
          </w:p>
        </w:tc>
        <w:tc>
          <w:tcPr>
            <w:tcW w:w="514" w:type="pct"/>
            <w:tcBorders>
              <w:top w:val="nil"/>
              <w:left w:val="nil"/>
              <w:bottom w:val="nil"/>
            </w:tcBorders>
            <w:shd w:val="clear" w:color="auto" w:fill="auto"/>
            <w:noWrap/>
            <w:vAlign w:val="center"/>
            <w:hideMark/>
          </w:tcPr>
          <w:p w14:paraId="64EFE369"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35,92%</w:t>
            </w:r>
          </w:p>
        </w:tc>
      </w:tr>
      <w:tr w:rsidR="00CE23ED" w:rsidRPr="00CE23ED" w14:paraId="24804DF3" w14:textId="77777777" w:rsidTr="0079285B">
        <w:trPr>
          <w:trHeight w:val="300"/>
        </w:trPr>
        <w:tc>
          <w:tcPr>
            <w:tcW w:w="859" w:type="pct"/>
            <w:vMerge/>
            <w:tcBorders>
              <w:top w:val="nil"/>
              <w:bottom w:val="single" w:sz="4" w:space="0" w:color="000000"/>
              <w:right w:val="single" w:sz="4" w:space="0" w:color="auto"/>
            </w:tcBorders>
            <w:vAlign w:val="center"/>
            <w:hideMark/>
          </w:tcPr>
          <w:p w14:paraId="6D912F76" w14:textId="77777777" w:rsidR="009A552F" w:rsidRPr="00F94B09" w:rsidRDefault="009A552F" w:rsidP="00E83BAD">
            <w:pPr>
              <w:jc w:val="both"/>
              <w:rPr>
                <w:b/>
                <w:bCs/>
                <w:color w:val="000000"/>
                <w:sz w:val="20"/>
                <w:szCs w:val="20"/>
                <w:lang w:eastAsia="pt-BR"/>
              </w:rPr>
            </w:pPr>
          </w:p>
        </w:tc>
        <w:tc>
          <w:tcPr>
            <w:tcW w:w="1394" w:type="pct"/>
            <w:tcBorders>
              <w:top w:val="nil"/>
              <w:left w:val="nil"/>
              <w:bottom w:val="single" w:sz="4" w:space="0" w:color="auto"/>
              <w:right w:val="nil"/>
            </w:tcBorders>
            <w:shd w:val="clear" w:color="auto" w:fill="auto"/>
            <w:noWrap/>
            <w:vAlign w:val="center"/>
            <w:hideMark/>
          </w:tcPr>
          <w:p w14:paraId="75D6C031" w14:textId="77777777" w:rsidR="009A552F" w:rsidRPr="00F94B09" w:rsidRDefault="009A552F" w:rsidP="00E83BAD">
            <w:pPr>
              <w:jc w:val="both"/>
              <w:rPr>
                <w:color w:val="000000"/>
                <w:sz w:val="20"/>
                <w:szCs w:val="20"/>
                <w:lang w:eastAsia="pt-BR"/>
              </w:rPr>
            </w:pPr>
            <w:r w:rsidRPr="00F94B09">
              <w:rPr>
                <w:color w:val="000000"/>
                <w:sz w:val="20"/>
                <w:szCs w:val="20"/>
                <w:lang w:eastAsia="pt-BR"/>
              </w:rPr>
              <w:t>2007</w:t>
            </w:r>
          </w:p>
        </w:tc>
        <w:tc>
          <w:tcPr>
            <w:tcW w:w="760" w:type="pct"/>
            <w:tcBorders>
              <w:top w:val="nil"/>
              <w:left w:val="single" w:sz="4" w:space="0" w:color="auto"/>
              <w:bottom w:val="single" w:sz="4" w:space="0" w:color="auto"/>
              <w:right w:val="nil"/>
            </w:tcBorders>
            <w:shd w:val="clear" w:color="auto" w:fill="auto"/>
            <w:noWrap/>
            <w:vAlign w:val="center"/>
            <w:hideMark/>
          </w:tcPr>
          <w:p w14:paraId="4A982198"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w:t>
            </w:r>
          </w:p>
        </w:tc>
        <w:tc>
          <w:tcPr>
            <w:tcW w:w="589" w:type="pct"/>
            <w:tcBorders>
              <w:top w:val="nil"/>
              <w:left w:val="nil"/>
              <w:bottom w:val="nil"/>
              <w:right w:val="single" w:sz="4" w:space="0" w:color="auto"/>
            </w:tcBorders>
            <w:shd w:val="clear" w:color="auto" w:fill="auto"/>
            <w:noWrap/>
            <w:vAlign w:val="center"/>
            <w:hideMark/>
          </w:tcPr>
          <w:p w14:paraId="494D9F8E"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1,94%</w:t>
            </w:r>
          </w:p>
        </w:tc>
        <w:tc>
          <w:tcPr>
            <w:tcW w:w="883" w:type="pct"/>
            <w:tcBorders>
              <w:top w:val="nil"/>
              <w:left w:val="nil"/>
              <w:bottom w:val="single" w:sz="4" w:space="0" w:color="auto"/>
              <w:right w:val="nil"/>
            </w:tcBorders>
            <w:shd w:val="clear" w:color="auto" w:fill="auto"/>
            <w:noWrap/>
            <w:vAlign w:val="center"/>
            <w:hideMark/>
          </w:tcPr>
          <w:p w14:paraId="41EEF489"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w:t>
            </w:r>
          </w:p>
        </w:tc>
        <w:tc>
          <w:tcPr>
            <w:tcW w:w="514" w:type="pct"/>
            <w:tcBorders>
              <w:top w:val="nil"/>
              <w:left w:val="nil"/>
              <w:bottom w:val="nil"/>
            </w:tcBorders>
            <w:shd w:val="clear" w:color="auto" w:fill="auto"/>
            <w:noWrap/>
            <w:vAlign w:val="center"/>
            <w:hideMark/>
          </w:tcPr>
          <w:p w14:paraId="0727FF78"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0,00%</w:t>
            </w:r>
          </w:p>
        </w:tc>
      </w:tr>
      <w:tr w:rsidR="00CE23ED" w:rsidRPr="00CE23ED" w14:paraId="3C6C501D" w14:textId="77777777" w:rsidTr="0079285B">
        <w:trPr>
          <w:trHeight w:val="300"/>
        </w:trPr>
        <w:tc>
          <w:tcPr>
            <w:tcW w:w="859" w:type="pct"/>
            <w:vMerge w:val="restart"/>
            <w:tcBorders>
              <w:top w:val="nil"/>
              <w:bottom w:val="single" w:sz="4" w:space="0" w:color="000000"/>
              <w:right w:val="single" w:sz="4" w:space="0" w:color="auto"/>
            </w:tcBorders>
            <w:shd w:val="clear" w:color="auto" w:fill="auto"/>
            <w:vAlign w:val="center"/>
            <w:hideMark/>
          </w:tcPr>
          <w:p w14:paraId="693B3552"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País de Operação (</w:t>
            </w:r>
            <w:r w:rsidRPr="00F94B09">
              <w:rPr>
                <w:b/>
                <w:bCs/>
                <w:i/>
                <w:color w:val="000000"/>
                <w:sz w:val="20"/>
                <w:szCs w:val="20"/>
                <w:lang w:eastAsia="pt-BR"/>
              </w:rPr>
              <w:t xml:space="preserve">Host </w:t>
            </w:r>
            <w:proofErr w:type="spellStart"/>
            <w:r w:rsidRPr="00F94B09">
              <w:rPr>
                <w:b/>
                <w:bCs/>
                <w:i/>
                <w:color w:val="000000"/>
                <w:sz w:val="20"/>
                <w:szCs w:val="20"/>
                <w:lang w:eastAsia="pt-BR"/>
              </w:rPr>
              <w:t>Parties</w:t>
            </w:r>
            <w:proofErr w:type="spellEnd"/>
            <w:r w:rsidRPr="00F94B09">
              <w:rPr>
                <w:b/>
                <w:bCs/>
                <w:color w:val="000000"/>
                <w:sz w:val="20"/>
                <w:szCs w:val="20"/>
                <w:lang w:eastAsia="pt-BR"/>
              </w:rPr>
              <w:t>)</w:t>
            </w:r>
          </w:p>
        </w:tc>
        <w:tc>
          <w:tcPr>
            <w:tcW w:w="1394" w:type="pct"/>
            <w:tcBorders>
              <w:top w:val="nil"/>
              <w:left w:val="nil"/>
              <w:bottom w:val="nil"/>
              <w:right w:val="nil"/>
            </w:tcBorders>
            <w:shd w:val="clear" w:color="auto" w:fill="auto"/>
            <w:noWrap/>
            <w:vAlign w:val="center"/>
            <w:hideMark/>
          </w:tcPr>
          <w:p w14:paraId="1F798706" w14:textId="77777777" w:rsidR="009A552F" w:rsidRPr="00F94B09" w:rsidRDefault="009A552F" w:rsidP="00E83BAD">
            <w:pPr>
              <w:jc w:val="both"/>
              <w:rPr>
                <w:color w:val="000000"/>
                <w:sz w:val="20"/>
                <w:szCs w:val="20"/>
                <w:lang w:eastAsia="pt-BR"/>
              </w:rPr>
            </w:pPr>
            <w:r w:rsidRPr="00F94B09">
              <w:rPr>
                <w:color w:val="000000"/>
                <w:sz w:val="20"/>
                <w:szCs w:val="20"/>
                <w:lang w:eastAsia="pt-BR"/>
              </w:rPr>
              <w:t>Brasil</w:t>
            </w:r>
          </w:p>
        </w:tc>
        <w:tc>
          <w:tcPr>
            <w:tcW w:w="760" w:type="pct"/>
            <w:tcBorders>
              <w:top w:val="nil"/>
              <w:left w:val="single" w:sz="4" w:space="0" w:color="auto"/>
              <w:bottom w:val="nil"/>
              <w:right w:val="nil"/>
            </w:tcBorders>
            <w:shd w:val="clear" w:color="auto" w:fill="auto"/>
            <w:noWrap/>
            <w:vAlign w:val="center"/>
            <w:hideMark/>
          </w:tcPr>
          <w:p w14:paraId="143DAACD"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33</w:t>
            </w:r>
          </w:p>
        </w:tc>
        <w:tc>
          <w:tcPr>
            <w:tcW w:w="589" w:type="pct"/>
            <w:tcBorders>
              <w:top w:val="single" w:sz="4" w:space="0" w:color="auto"/>
              <w:left w:val="nil"/>
              <w:bottom w:val="nil"/>
              <w:right w:val="single" w:sz="4" w:space="0" w:color="auto"/>
            </w:tcBorders>
            <w:shd w:val="clear" w:color="auto" w:fill="auto"/>
            <w:noWrap/>
            <w:vAlign w:val="center"/>
            <w:hideMark/>
          </w:tcPr>
          <w:p w14:paraId="1CCE481A"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32,04%</w:t>
            </w:r>
          </w:p>
        </w:tc>
        <w:tc>
          <w:tcPr>
            <w:tcW w:w="883" w:type="pct"/>
            <w:tcBorders>
              <w:top w:val="nil"/>
              <w:left w:val="nil"/>
              <w:bottom w:val="nil"/>
              <w:right w:val="nil"/>
            </w:tcBorders>
            <w:shd w:val="clear" w:color="auto" w:fill="auto"/>
            <w:noWrap/>
            <w:vAlign w:val="center"/>
            <w:hideMark/>
          </w:tcPr>
          <w:p w14:paraId="30B0C7D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17</w:t>
            </w:r>
          </w:p>
        </w:tc>
        <w:tc>
          <w:tcPr>
            <w:tcW w:w="514" w:type="pct"/>
            <w:tcBorders>
              <w:top w:val="single" w:sz="4" w:space="0" w:color="auto"/>
              <w:left w:val="nil"/>
              <w:bottom w:val="nil"/>
            </w:tcBorders>
            <w:shd w:val="clear" w:color="auto" w:fill="auto"/>
            <w:noWrap/>
            <w:vAlign w:val="center"/>
            <w:hideMark/>
          </w:tcPr>
          <w:p w14:paraId="08EE6383"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16,50%</w:t>
            </w:r>
          </w:p>
        </w:tc>
      </w:tr>
      <w:tr w:rsidR="00CE23ED" w:rsidRPr="00CE23ED" w14:paraId="511A23A6" w14:textId="77777777" w:rsidTr="0079285B">
        <w:trPr>
          <w:trHeight w:val="300"/>
        </w:trPr>
        <w:tc>
          <w:tcPr>
            <w:tcW w:w="859" w:type="pct"/>
            <w:vMerge/>
            <w:tcBorders>
              <w:top w:val="nil"/>
              <w:bottom w:val="single" w:sz="4" w:space="0" w:color="000000"/>
              <w:right w:val="single" w:sz="4" w:space="0" w:color="auto"/>
            </w:tcBorders>
            <w:vAlign w:val="center"/>
            <w:hideMark/>
          </w:tcPr>
          <w:p w14:paraId="224A32DE" w14:textId="77777777" w:rsidR="009A552F" w:rsidRPr="00F94B09" w:rsidRDefault="009A552F" w:rsidP="00E83BAD">
            <w:pPr>
              <w:jc w:val="both"/>
              <w:rPr>
                <w:b/>
                <w:bCs/>
                <w:color w:val="000000"/>
                <w:sz w:val="20"/>
                <w:szCs w:val="20"/>
                <w:lang w:eastAsia="pt-BR"/>
              </w:rPr>
            </w:pPr>
          </w:p>
        </w:tc>
        <w:tc>
          <w:tcPr>
            <w:tcW w:w="1394" w:type="pct"/>
            <w:tcBorders>
              <w:top w:val="nil"/>
              <w:left w:val="nil"/>
              <w:bottom w:val="single" w:sz="4" w:space="0" w:color="auto"/>
              <w:right w:val="nil"/>
            </w:tcBorders>
            <w:shd w:val="clear" w:color="auto" w:fill="auto"/>
            <w:noWrap/>
            <w:vAlign w:val="center"/>
            <w:hideMark/>
          </w:tcPr>
          <w:p w14:paraId="138E2952" w14:textId="77777777" w:rsidR="009A552F" w:rsidRPr="00F94B09" w:rsidRDefault="009A552F" w:rsidP="00E83BAD">
            <w:pPr>
              <w:jc w:val="both"/>
              <w:rPr>
                <w:color w:val="000000"/>
                <w:sz w:val="20"/>
                <w:szCs w:val="20"/>
                <w:lang w:eastAsia="pt-BR"/>
              </w:rPr>
            </w:pPr>
            <w:r w:rsidRPr="00F94B09">
              <w:rPr>
                <w:color w:val="000000"/>
                <w:sz w:val="20"/>
                <w:szCs w:val="20"/>
                <w:lang w:eastAsia="pt-BR"/>
              </w:rPr>
              <w:t>México</w:t>
            </w:r>
          </w:p>
        </w:tc>
        <w:tc>
          <w:tcPr>
            <w:tcW w:w="760" w:type="pct"/>
            <w:tcBorders>
              <w:top w:val="nil"/>
              <w:left w:val="single" w:sz="4" w:space="0" w:color="auto"/>
              <w:bottom w:val="single" w:sz="4" w:space="0" w:color="auto"/>
              <w:right w:val="nil"/>
            </w:tcBorders>
            <w:shd w:val="clear" w:color="auto" w:fill="auto"/>
            <w:noWrap/>
            <w:vAlign w:val="center"/>
            <w:hideMark/>
          </w:tcPr>
          <w:p w14:paraId="4FD3EAE2" w14:textId="77777777" w:rsidR="009A552F" w:rsidRPr="00F94B09" w:rsidRDefault="009A552F" w:rsidP="00F94B09">
            <w:pPr>
              <w:jc w:val="center"/>
              <w:rPr>
                <w:color w:val="000000"/>
                <w:sz w:val="20"/>
                <w:szCs w:val="20"/>
                <w:lang w:eastAsia="pt-BR"/>
              </w:rPr>
            </w:pPr>
            <w:r w:rsidRPr="00F94B09">
              <w:rPr>
                <w:color w:val="000000"/>
                <w:sz w:val="20"/>
                <w:szCs w:val="20"/>
                <w:lang w:eastAsia="pt-BR"/>
              </w:rPr>
              <w:t>70</w:t>
            </w:r>
          </w:p>
        </w:tc>
        <w:tc>
          <w:tcPr>
            <w:tcW w:w="589" w:type="pct"/>
            <w:tcBorders>
              <w:top w:val="nil"/>
              <w:left w:val="nil"/>
              <w:bottom w:val="single" w:sz="4" w:space="0" w:color="auto"/>
              <w:right w:val="single" w:sz="4" w:space="0" w:color="auto"/>
            </w:tcBorders>
            <w:shd w:val="clear" w:color="auto" w:fill="auto"/>
            <w:noWrap/>
            <w:vAlign w:val="center"/>
            <w:hideMark/>
          </w:tcPr>
          <w:p w14:paraId="0FE6AD8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67,96%</w:t>
            </w:r>
          </w:p>
        </w:tc>
        <w:tc>
          <w:tcPr>
            <w:tcW w:w="883" w:type="pct"/>
            <w:tcBorders>
              <w:top w:val="nil"/>
              <w:left w:val="nil"/>
              <w:bottom w:val="single" w:sz="4" w:space="0" w:color="auto"/>
              <w:right w:val="nil"/>
            </w:tcBorders>
            <w:shd w:val="clear" w:color="auto" w:fill="auto"/>
            <w:noWrap/>
            <w:vAlign w:val="center"/>
            <w:hideMark/>
          </w:tcPr>
          <w:p w14:paraId="1F9AF9B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22</w:t>
            </w:r>
          </w:p>
        </w:tc>
        <w:tc>
          <w:tcPr>
            <w:tcW w:w="514" w:type="pct"/>
            <w:tcBorders>
              <w:top w:val="nil"/>
              <w:left w:val="nil"/>
              <w:bottom w:val="single" w:sz="4" w:space="0" w:color="auto"/>
            </w:tcBorders>
            <w:shd w:val="clear" w:color="auto" w:fill="auto"/>
            <w:noWrap/>
            <w:vAlign w:val="center"/>
            <w:hideMark/>
          </w:tcPr>
          <w:p w14:paraId="1769CE40"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21,36%</w:t>
            </w:r>
          </w:p>
        </w:tc>
      </w:tr>
      <w:tr w:rsidR="00CE23ED" w:rsidRPr="00CE23ED" w14:paraId="17E74B85" w14:textId="77777777" w:rsidTr="0079285B">
        <w:trPr>
          <w:trHeight w:val="300"/>
        </w:trPr>
        <w:tc>
          <w:tcPr>
            <w:tcW w:w="859" w:type="pct"/>
            <w:vMerge w:val="restart"/>
            <w:tcBorders>
              <w:top w:val="nil"/>
              <w:bottom w:val="single" w:sz="4" w:space="0" w:color="000000"/>
              <w:right w:val="single" w:sz="4" w:space="0" w:color="auto"/>
            </w:tcBorders>
            <w:shd w:val="clear" w:color="auto" w:fill="auto"/>
            <w:vAlign w:val="center"/>
            <w:hideMark/>
          </w:tcPr>
          <w:p w14:paraId="72D66C32"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País cliente</w:t>
            </w:r>
          </w:p>
          <w:p w14:paraId="2701B2A7" w14:textId="77777777" w:rsidR="009A552F" w:rsidRPr="00F94B09" w:rsidRDefault="009A552F" w:rsidP="00E83BAD">
            <w:pPr>
              <w:jc w:val="both"/>
              <w:rPr>
                <w:b/>
                <w:bCs/>
                <w:color w:val="000000"/>
                <w:sz w:val="20"/>
                <w:szCs w:val="20"/>
                <w:lang w:eastAsia="pt-BR"/>
              </w:rPr>
            </w:pPr>
            <w:r w:rsidRPr="00F94B09">
              <w:rPr>
                <w:b/>
                <w:bCs/>
                <w:color w:val="000000"/>
                <w:sz w:val="20"/>
                <w:szCs w:val="20"/>
                <w:lang w:eastAsia="pt-BR"/>
              </w:rPr>
              <w:t>(</w:t>
            </w:r>
            <w:proofErr w:type="spellStart"/>
            <w:r w:rsidRPr="00F94B09">
              <w:rPr>
                <w:b/>
                <w:bCs/>
                <w:i/>
                <w:color w:val="000000"/>
                <w:sz w:val="20"/>
                <w:szCs w:val="20"/>
                <w:lang w:eastAsia="pt-BR"/>
              </w:rPr>
              <w:t>Other</w:t>
            </w:r>
            <w:proofErr w:type="spellEnd"/>
            <w:r w:rsidRPr="00F94B09">
              <w:rPr>
                <w:b/>
                <w:bCs/>
                <w:i/>
                <w:color w:val="000000"/>
                <w:sz w:val="20"/>
                <w:szCs w:val="20"/>
                <w:lang w:eastAsia="pt-BR"/>
              </w:rPr>
              <w:t xml:space="preserve"> </w:t>
            </w:r>
            <w:proofErr w:type="spellStart"/>
            <w:r w:rsidRPr="00F94B09">
              <w:rPr>
                <w:b/>
                <w:bCs/>
                <w:i/>
                <w:color w:val="000000"/>
                <w:sz w:val="20"/>
                <w:szCs w:val="20"/>
                <w:lang w:eastAsia="pt-BR"/>
              </w:rPr>
              <w:t>Parties</w:t>
            </w:r>
            <w:proofErr w:type="spellEnd"/>
            <w:r w:rsidRPr="00F94B09">
              <w:rPr>
                <w:b/>
                <w:bCs/>
                <w:color w:val="000000"/>
                <w:sz w:val="20"/>
                <w:szCs w:val="20"/>
                <w:lang w:eastAsia="pt-BR"/>
              </w:rPr>
              <w:t>)</w:t>
            </w:r>
          </w:p>
        </w:tc>
        <w:tc>
          <w:tcPr>
            <w:tcW w:w="1394" w:type="pct"/>
            <w:tcBorders>
              <w:top w:val="nil"/>
              <w:left w:val="nil"/>
              <w:bottom w:val="nil"/>
              <w:right w:val="nil"/>
            </w:tcBorders>
            <w:shd w:val="clear" w:color="auto" w:fill="auto"/>
            <w:noWrap/>
            <w:hideMark/>
          </w:tcPr>
          <w:p w14:paraId="072F6725" w14:textId="77777777" w:rsidR="009A552F" w:rsidRPr="00F94B09" w:rsidRDefault="009A552F" w:rsidP="00E83BAD">
            <w:pPr>
              <w:pStyle w:val="HTMLPreformatted"/>
              <w:shd w:val="clear" w:color="auto" w:fill="FFFFFF"/>
              <w:ind w:firstLine="0"/>
              <w:rPr>
                <w:rFonts w:ascii="Times New Roman" w:hAnsi="Times New Roman" w:cs="Times New Roman"/>
                <w:color w:val="212121"/>
                <w:lang w:val="pt-PT"/>
              </w:rPr>
            </w:pPr>
            <w:r w:rsidRPr="00F94B09">
              <w:rPr>
                <w:rFonts w:ascii="Times New Roman" w:hAnsi="Times New Roman" w:cs="Times New Roman"/>
                <w:color w:val="212121"/>
                <w:lang w:val="pt-PT"/>
              </w:rPr>
              <w:t>Suíça</w:t>
            </w:r>
          </w:p>
        </w:tc>
        <w:tc>
          <w:tcPr>
            <w:tcW w:w="760" w:type="pct"/>
            <w:tcBorders>
              <w:top w:val="nil"/>
              <w:left w:val="single" w:sz="4" w:space="0" w:color="auto"/>
              <w:bottom w:val="nil"/>
              <w:right w:val="nil"/>
            </w:tcBorders>
            <w:shd w:val="clear" w:color="auto" w:fill="auto"/>
            <w:noWrap/>
            <w:vAlign w:val="center"/>
            <w:hideMark/>
          </w:tcPr>
          <w:p w14:paraId="4094ABF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w:t>
            </w:r>
          </w:p>
        </w:tc>
        <w:tc>
          <w:tcPr>
            <w:tcW w:w="589" w:type="pct"/>
            <w:tcBorders>
              <w:top w:val="nil"/>
              <w:left w:val="nil"/>
              <w:bottom w:val="nil"/>
              <w:right w:val="single" w:sz="4" w:space="0" w:color="auto"/>
            </w:tcBorders>
            <w:shd w:val="clear" w:color="auto" w:fill="auto"/>
            <w:noWrap/>
            <w:vAlign w:val="center"/>
            <w:hideMark/>
          </w:tcPr>
          <w:p w14:paraId="22950A8E"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1,94%</w:t>
            </w:r>
          </w:p>
        </w:tc>
        <w:tc>
          <w:tcPr>
            <w:tcW w:w="883" w:type="pct"/>
            <w:tcBorders>
              <w:top w:val="nil"/>
              <w:left w:val="nil"/>
              <w:bottom w:val="nil"/>
              <w:right w:val="nil"/>
            </w:tcBorders>
            <w:shd w:val="clear" w:color="auto" w:fill="auto"/>
            <w:noWrap/>
            <w:vAlign w:val="center"/>
            <w:hideMark/>
          </w:tcPr>
          <w:p w14:paraId="4AC2A06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w:t>
            </w:r>
          </w:p>
        </w:tc>
        <w:tc>
          <w:tcPr>
            <w:tcW w:w="514" w:type="pct"/>
            <w:tcBorders>
              <w:top w:val="nil"/>
              <w:left w:val="nil"/>
              <w:bottom w:val="nil"/>
            </w:tcBorders>
            <w:shd w:val="clear" w:color="auto" w:fill="auto"/>
            <w:noWrap/>
            <w:vAlign w:val="center"/>
            <w:hideMark/>
          </w:tcPr>
          <w:p w14:paraId="27919AAB"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0,97%</w:t>
            </w:r>
          </w:p>
        </w:tc>
      </w:tr>
      <w:tr w:rsidR="00CE23ED" w:rsidRPr="00CE23ED" w14:paraId="25B976E2" w14:textId="77777777" w:rsidTr="0079285B">
        <w:trPr>
          <w:trHeight w:val="900"/>
        </w:trPr>
        <w:tc>
          <w:tcPr>
            <w:tcW w:w="859" w:type="pct"/>
            <w:vMerge/>
            <w:tcBorders>
              <w:top w:val="nil"/>
              <w:bottom w:val="single" w:sz="4" w:space="0" w:color="000000"/>
              <w:right w:val="single" w:sz="4" w:space="0" w:color="auto"/>
            </w:tcBorders>
            <w:vAlign w:val="center"/>
            <w:hideMark/>
          </w:tcPr>
          <w:p w14:paraId="1F48E60A" w14:textId="77777777" w:rsidR="009A552F" w:rsidRPr="00F94B09" w:rsidRDefault="009A552F" w:rsidP="00E83BAD">
            <w:pPr>
              <w:jc w:val="both"/>
              <w:rPr>
                <w:b/>
                <w:bCs/>
                <w:color w:val="000000"/>
                <w:sz w:val="20"/>
                <w:szCs w:val="20"/>
                <w:lang w:eastAsia="pt-BR"/>
              </w:rPr>
            </w:pPr>
          </w:p>
        </w:tc>
        <w:tc>
          <w:tcPr>
            <w:tcW w:w="1394" w:type="pct"/>
            <w:tcBorders>
              <w:top w:val="nil"/>
              <w:left w:val="nil"/>
              <w:bottom w:val="nil"/>
              <w:right w:val="nil"/>
            </w:tcBorders>
            <w:shd w:val="clear" w:color="auto" w:fill="auto"/>
            <w:hideMark/>
          </w:tcPr>
          <w:p w14:paraId="4AADD45D" w14:textId="77777777" w:rsidR="009A552F" w:rsidRPr="00F94B09" w:rsidRDefault="009A552F" w:rsidP="00E83BAD">
            <w:pPr>
              <w:pStyle w:val="HTMLPreformatted"/>
              <w:shd w:val="clear" w:color="auto" w:fill="FFFFFF"/>
              <w:ind w:firstLine="0"/>
              <w:rPr>
                <w:rFonts w:ascii="Times New Roman" w:hAnsi="Times New Roman" w:cs="Times New Roman"/>
                <w:color w:val="212121"/>
                <w:lang w:val="pt-PT"/>
              </w:rPr>
            </w:pPr>
            <w:r w:rsidRPr="00F94B09">
              <w:rPr>
                <w:rFonts w:ascii="Times New Roman" w:hAnsi="Times New Roman" w:cs="Times New Roman"/>
                <w:color w:val="212121"/>
                <w:lang w:val="pt-PT"/>
              </w:rPr>
              <w:t xml:space="preserve">Suíça / Países Baixos / Reino Unido da Grã-Bretanha / Irlanda </w:t>
            </w:r>
          </w:p>
        </w:tc>
        <w:tc>
          <w:tcPr>
            <w:tcW w:w="760" w:type="pct"/>
            <w:tcBorders>
              <w:top w:val="nil"/>
              <w:left w:val="single" w:sz="4" w:space="0" w:color="auto"/>
              <w:bottom w:val="nil"/>
              <w:right w:val="nil"/>
            </w:tcBorders>
            <w:shd w:val="clear" w:color="auto" w:fill="auto"/>
            <w:noWrap/>
            <w:vAlign w:val="center"/>
            <w:hideMark/>
          </w:tcPr>
          <w:p w14:paraId="09B8DF9C"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w:t>
            </w:r>
          </w:p>
        </w:tc>
        <w:tc>
          <w:tcPr>
            <w:tcW w:w="589" w:type="pct"/>
            <w:tcBorders>
              <w:top w:val="nil"/>
              <w:left w:val="nil"/>
              <w:bottom w:val="nil"/>
              <w:right w:val="single" w:sz="4" w:space="0" w:color="auto"/>
            </w:tcBorders>
            <w:shd w:val="clear" w:color="auto" w:fill="auto"/>
            <w:noWrap/>
            <w:vAlign w:val="center"/>
            <w:hideMark/>
          </w:tcPr>
          <w:p w14:paraId="146725C3"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1,94%</w:t>
            </w:r>
          </w:p>
        </w:tc>
        <w:tc>
          <w:tcPr>
            <w:tcW w:w="883" w:type="pct"/>
            <w:tcBorders>
              <w:top w:val="nil"/>
              <w:left w:val="nil"/>
              <w:bottom w:val="nil"/>
              <w:right w:val="nil"/>
            </w:tcBorders>
            <w:shd w:val="clear" w:color="auto" w:fill="auto"/>
            <w:noWrap/>
            <w:vAlign w:val="center"/>
            <w:hideMark/>
          </w:tcPr>
          <w:p w14:paraId="54206542"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w:t>
            </w:r>
          </w:p>
        </w:tc>
        <w:tc>
          <w:tcPr>
            <w:tcW w:w="514" w:type="pct"/>
            <w:tcBorders>
              <w:top w:val="nil"/>
              <w:left w:val="nil"/>
              <w:bottom w:val="nil"/>
            </w:tcBorders>
            <w:shd w:val="clear" w:color="auto" w:fill="auto"/>
            <w:noWrap/>
            <w:vAlign w:val="center"/>
            <w:hideMark/>
          </w:tcPr>
          <w:p w14:paraId="79D97063"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1,94%</w:t>
            </w:r>
          </w:p>
        </w:tc>
      </w:tr>
      <w:tr w:rsidR="00CE23ED" w:rsidRPr="00CE23ED" w14:paraId="58F2B80D" w14:textId="77777777" w:rsidTr="0079285B">
        <w:trPr>
          <w:trHeight w:val="600"/>
        </w:trPr>
        <w:tc>
          <w:tcPr>
            <w:tcW w:w="859" w:type="pct"/>
            <w:vMerge/>
            <w:tcBorders>
              <w:top w:val="nil"/>
              <w:bottom w:val="single" w:sz="4" w:space="0" w:color="000000"/>
              <w:right w:val="single" w:sz="4" w:space="0" w:color="auto"/>
            </w:tcBorders>
            <w:vAlign w:val="center"/>
            <w:hideMark/>
          </w:tcPr>
          <w:p w14:paraId="57128BC0" w14:textId="77777777" w:rsidR="009A552F" w:rsidRPr="00F94B09" w:rsidRDefault="009A552F" w:rsidP="00E83BAD">
            <w:pPr>
              <w:jc w:val="both"/>
              <w:rPr>
                <w:b/>
                <w:bCs/>
                <w:color w:val="000000"/>
                <w:sz w:val="20"/>
                <w:szCs w:val="20"/>
                <w:lang w:eastAsia="pt-BR"/>
              </w:rPr>
            </w:pPr>
          </w:p>
        </w:tc>
        <w:tc>
          <w:tcPr>
            <w:tcW w:w="1394" w:type="pct"/>
            <w:tcBorders>
              <w:top w:val="nil"/>
              <w:left w:val="nil"/>
              <w:bottom w:val="nil"/>
              <w:right w:val="nil"/>
            </w:tcBorders>
            <w:shd w:val="clear" w:color="auto" w:fill="auto"/>
            <w:hideMark/>
          </w:tcPr>
          <w:p w14:paraId="7D8821CF" w14:textId="77777777" w:rsidR="009A552F" w:rsidRPr="00F94B09" w:rsidRDefault="009A552F" w:rsidP="00E83BAD">
            <w:pPr>
              <w:pStyle w:val="HTMLPreformatted"/>
              <w:shd w:val="clear" w:color="auto" w:fill="FFFFFF"/>
              <w:ind w:firstLine="0"/>
              <w:rPr>
                <w:rFonts w:ascii="Times New Roman" w:hAnsi="Times New Roman" w:cs="Times New Roman"/>
                <w:color w:val="212121"/>
                <w:lang w:val="pt-PT"/>
              </w:rPr>
            </w:pPr>
            <w:r w:rsidRPr="00F94B09">
              <w:rPr>
                <w:rFonts w:ascii="Times New Roman" w:hAnsi="Times New Roman" w:cs="Times New Roman"/>
                <w:color w:val="212121"/>
                <w:lang w:val="pt-PT"/>
              </w:rPr>
              <w:t xml:space="preserve">Suíça / Reino Unido da Grã-Bretanha / Irlanda </w:t>
            </w:r>
          </w:p>
        </w:tc>
        <w:tc>
          <w:tcPr>
            <w:tcW w:w="760" w:type="pct"/>
            <w:tcBorders>
              <w:top w:val="nil"/>
              <w:left w:val="single" w:sz="4" w:space="0" w:color="auto"/>
              <w:bottom w:val="nil"/>
              <w:right w:val="nil"/>
            </w:tcBorders>
            <w:shd w:val="clear" w:color="auto" w:fill="auto"/>
            <w:noWrap/>
            <w:vAlign w:val="center"/>
            <w:hideMark/>
          </w:tcPr>
          <w:p w14:paraId="6A85F2F7" w14:textId="77777777" w:rsidR="009A552F" w:rsidRPr="00F94B09" w:rsidRDefault="009A552F" w:rsidP="00F94B09">
            <w:pPr>
              <w:jc w:val="center"/>
              <w:rPr>
                <w:color w:val="000000"/>
                <w:sz w:val="20"/>
                <w:szCs w:val="20"/>
                <w:lang w:eastAsia="pt-BR"/>
              </w:rPr>
            </w:pPr>
            <w:r w:rsidRPr="00F94B09">
              <w:rPr>
                <w:color w:val="000000"/>
                <w:sz w:val="20"/>
                <w:szCs w:val="20"/>
                <w:lang w:eastAsia="pt-BR"/>
              </w:rPr>
              <w:t>88</w:t>
            </w:r>
          </w:p>
        </w:tc>
        <w:tc>
          <w:tcPr>
            <w:tcW w:w="589" w:type="pct"/>
            <w:tcBorders>
              <w:top w:val="nil"/>
              <w:left w:val="nil"/>
              <w:bottom w:val="nil"/>
              <w:right w:val="single" w:sz="4" w:space="0" w:color="auto"/>
            </w:tcBorders>
            <w:shd w:val="clear" w:color="auto" w:fill="auto"/>
            <w:noWrap/>
            <w:vAlign w:val="center"/>
            <w:hideMark/>
          </w:tcPr>
          <w:p w14:paraId="2FC6D5C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85,44%</w:t>
            </w:r>
          </w:p>
        </w:tc>
        <w:tc>
          <w:tcPr>
            <w:tcW w:w="883" w:type="pct"/>
            <w:tcBorders>
              <w:top w:val="nil"/>
              <w:left w:val="nil"/>
              <w:bottom w:val="nil"/>
              <w:right w:val="nil"/>
            </w:tcBorders>
            <w:shd w:val="clear" w:color="auto" w:fill="auto"/>
            <w:noWrap/>
            <w:vAlign w:val="center"/>
            <w:hideMark/>
          </w:tcPr>
          <w:p w14:paraId="7A052523"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35</w:t>
            </w:r>
          </w:p>
        </w:tc>
        <w:tc>
          <w:tcPr>
            <w:tcW w:w="514" w:type="pct"/>
            <w:tcBorders>
              <w:top w:val="nil"/>
              <w:left w:val="nil"/>
              <w:bottom w:val="nil"/>
            </w:tcBorders>
            <w:shd w:val="clear" w:color="auto" w:fill="auto"/>
            <w:noWrap/>
            <w:vAlign w:val="center"/>
            <w:hideMark/>
          </w:tcPr>
          <w:p w14:paraId="326E9FBC"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33,98%</w:t>
            </w:r>
          </w:p>
        </w:tc>
      </w:tr>
      <w:tr w:rsidR="00CE23ED" w:rsidRPr="00CE23ED" w14:paraId="6E639F61" w14:textId="77777777" w:rsidTr="0079285B">
        <w:trPr>
          <w:trHeight w:val="600"/>
        </w:trPr>
        <w:tc>
          <w:tcPr>
            <w:tcW w:w="859" w:type="pct"/>
            <w:vMerge/>
            <w:tcBorders>
              <w:top w:val="nil"/>
              <w:bottom w:val="single" w:sz="4" w:space="0" w:color="000000"/>
              <w:right w:val="single" w:sz="4" w:space="0" w:color="auto"/>
            </w:tcBorders>
            <w:vAlign w:val="center"/>
            <w:hideMark/>
          </w:tcPr>
          <w:p w14:paraId="728BB2DF" w14:textId="77777777" w:rsidR="009A552F" w:rsidRPr="00F94B09" w:rsidRDefault="009A552F" w:rsidP="00E83BAD">
            <w:pPr>
              <w:jc w:val="both"/>
              <w:rPr>
                <w:b/>
                <w:bCs/>
                <w:color w:val="000000"/>
                <w:sz w:val="20"/>
                <w:szCs w:val="20"/>
                <w:lang w:eastAsia="pt-BR"/>
              </w:rPr>
            </w:pPr>
          </w:p>
        </w:tc>
        <w:tc>
          <w:tcPr>
            <w:tcW w:w="1394" w:type="pct"/>
            <w:tcBorders>
              <w:top w:val="nil"/>
              <w:left w:val="nil"/>
              <w:bottom w:val="nil"/>
              <w:right w:val="nil"/>
            </w:tcBorders>
            <w:shd w:val="clear" w:color="auto" w:fill="auto"/>
            <w:hideMark/>
          </w:tcPr>
          <w:p w14:paraId="745A0148" w14:textId="77777777" w:rsidR="009A552F" w:rsidRPr="00F94B09" w:rsidRDefault="009A552F" w:rsidP="00E83BAD">
            <w:pPr>
              <w:pStyle w:val="HTMLPreformatted"/>
              <w:shd w:val="clear" w:color="auto" w:fill="FFFFFF"/>
              <w:ind w:firstLine="0"/>
              <w:rPr>
                <w:rFonts w:ascii="Times New Roman" w:hAnsi="Times New Roman" w:cs="Times New Roman"/>
                <w:color w:val="212121"/>
                <w:lang w:val="pt-PT"/>
              </w:rPr>
            </w:pPr>
            <w:r w:rsidRPr="00F94B09">
              <w:rPr>
                <w:rFonts w:ascii="Times New Roman" w:hAnsi="Times New Roman" w:cs="Times New Roman"/>
                <w:color w:val="212121"/>
                <w:lang w:val="pt-PT"/>
              </w:rPr>
              <w:t xml:space="preserve">Reino Unido da Grã-Bretanha / Irlanda </w:t>
            </w:r>
          </w:p>
        </w:tc>
        <w:tc>
          <w:tcPr>
            <w:tcW w:w="760" w:type="pct"/>
            <w:tcBorders>
              <w:top w:val="nil"/>
              <w:left w:val="single" w:sz="4" w:space="0" w:color="auto"/>
              <w:bottom w:val="nil"/>
              <w:right w:val="nil"/>
            </w:tcBorders>
            <w:shd w:val="clear" w:color="auto" w:fill="auto"/>
            <w:noWrap/>
            <w:vAlign w:val="center"/>
            <w:hideMark/>
          </w:tcPr>
          <w:p w14:paraId="3BF0132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w:t>
            </w:r>
          </w:p>
        </w:tc>
        <w:tc>
          <w:tcPr>
            <w:tcW w:w="589" w:type="pct"/>
            <w:tcBorders>
              <w:top w:val="nil"/>
              <w:left w:val="nil"/>
              <w:bottom w:val="nil"/>
              <w:right w:val="single" w:sz="4" w:space="0" w:color="auto"/>
            </w:tcBorders>
            <w:shd w:val="clear" w:color="auto" w:fill="auto"/>
            <w:noWrap/>
            <w:vAlign w:val="center"/>
            <w:hideMark/>
          </w:tcPr>
          <w:p w14:paraId="041AA917"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0,97%</w:t>
            </w:r>
          </w:p>
        </w:tc>
        <w:tc>
          <w:tcPr>
            <w:tcW w:w="883" w:type="pct"/>
            <w:tcBorders>
              <w:top w:val="nil"/>
              <w:left w:val="nil"/>
              <w:bottom w:val="nil"/>
              <w:right w:val="nil"/>
            </w:tcBorders>
            <w:shd w:val="clear" w:color="auto" w:fill="auto"/>
            <w:noWrap/>
            <w:vAlign w:val="center"/>
            <w:hideMark/>
          </w:tcPr>
          <w:p w14:paraId="0DD5918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w:t>
            </w:r>
          </w:p>
        </w:tc>
        <w:tc>
          <w:tcPr>
            <w:tcW w:w="514" w:type="pct"/>
            <w:tcBorders>
              <w:top w:val="nil"/>
              <w:left w:val="nil"/>
              <w:bottom w:val="nil"/>
            </w:tcBorders>
            <w:shd w:val="clear" w:color="auto" w:fill="auto"/>
            <w:noWrap/>
            <w:vAlign w:val="center"/>
            <w:hideMark/>
          </w:tcPr>
          <w:p w14:paraId="553BB38A"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0,00%</w:t>
            </w:r>
          </w:p>
        </w:tc>
      </w:tr>
      <w:tr w:rsidR="00CE23ED" w:rsidRPr="00CE23ED" w14:paraId="0429C76C" w14:textId="77777777" w:rsidTr="0079285B">
        <w:trPr>
          <w:trHeight w:val="300"/>
        </w:trPr>
        <w:tc>
          <w:tcPr>
            <w:tcW w:w="859" w:type="pct"/>
            <w:vMerge/>
            <w:tcBorders>
              <w:top w:val="nil"/>
              <w:bottom w:val="single" w:sz="4" w:space="0" w:color="000000"/>
              <w:right w:val="single" w:sz="4" w:space="0" w:color="auto"/>
            </w:tcBorders>
            <w:vAlign w:val="center"/>
            <w:hideMark/>
          </w:tcPr>
          <w:p w14:paraId="7EE63BCE" w14:textId="77777777" w:rsidR="009A552F" w:rsidRPr="00F94B09" w:rsidRDefault="009A552F" w:rsidP="00E83BAD">
            <w:pPr>
              <w:jc w:val="both"/>
              <w:rPr>
                <w:b/>
                <w:bCs/>
                <w:color w:val="000000"/>
                <w:sz w:val="20"/>
                <w:szCs w:val="20"/>
                <w:lang w:eastAsia="pt-BR"/>
              </w:rPr>
            </w:pPr>
          </w:p>
        </w:tc>
        <w:tc>
          <w:tcPr>
            <w:tcW w:w="1394" w:type="pct"/>
            <w:tcBorders>
              <w:top w:val="nil"/>
              <w:left w:val="nil"/>
              <w:bottom w:val="single" w:sz="4" w:space="0" w:color="auto"/>
              <w:right w:val="nil"/>
            </w:tcBorders>
            <w:shd w:val="clear" w:color="auto" w:fill="auto"/>
            <w:noWrap/>
            <w:hideMark/>
          </w:tcPr>
          <w:p w14:paraId="61913982" w14:textId="77777777" w:rsidR="009A552F" w:rsidRPr="00F94B09" w:rsidRDefault="009A552F" w:rsidP="00E83BAD">
            <w:pPr>
              <w:pStyle w:val="HTMLPreformatted"/>
              <w:shd w:val="clear" w:color="auto" w:fill="FFFFFF"/>
              <w:ind w:firstLine="0"/>
              <w:rPr>
                <w:rFonts w:ascii="Times New Roman" w:hAnsi="Times New Roman" w:cs="Times New Roman"/>
                <w:color w:val="212121"/>
              </w:rPr>
            </w:pPr>
            <w:r w:rsidRPr="00F94B09">
              <w:rPr>
                <w:rFonts w:ascii="Times New Roman" w:hAnsi="Times New Roman" w:cs="Times New Roman"/>
                <w:color w:val="212121"/>
                <w:lang w:val="pt-PT"/>
              </w:rPr>
              <w:t>Nenhum</w:t>
            </w:r>
          </w:p>
        </w:tc>
        <w:tc>
          <w:tcPr>
            <w:tcW w:w="760" w:type="pct"/>
            <w:tcBorders>
              <w:top w:val="nil"/>
              <w:left w:val="single" w:sz="4" w:space="0" w:color="auto"/>
              <w:bottom w:val="single" w:sz="4" w:space="0" w:color="auto"/>
              <w:right w:val="nil"/>
            </w:tcBorders>
            <w:shd w:val="clear" w:color="auto" w:fill="auto"/>
            <w:noWrap/>
            <w:vAlign w:val="center"/>
            <w:hideMark/>
          </w:tcPr>
          <w:p w14:paraId="1B580AD1" w14:textId="77777777" w:rsidR="009A552F" w:rsidRPr="00F94B09" w:rsidRDefault="009A552F" w:rsidP="00F94B09">
            <w:pPr>
              <w:jc w:val="center"/>
              <w:rPr>
                <w:color w:val="000000"/>
                <w:sz w:val="20"/>
                <w:szCs w:val="20"/>
                <w:lang w:eastAsia="pt-BR"/>
              </w:rPr>
            </w:pPr>
            <w:r w:rsidRPr="00F94B09">
              <w:rPr>
                <w:color w:val="000000"/>
                <w:sz w:val="20"/>
                <w:szCs w:val="20"/>
                <w:lang w:eastAsia="pt-BR"/>
              </w:rPr>
              <w:t>9</w:t>
            </w:r>
          </w:p>
        </w:tc>
        <w:tc>
          <w:tcPr>
            <w:tcW w:w="589" w:type="pct"/>
            <w:tcBorders>
              <w:top w:val="nil"/>
              <w:left w:val="nil"/>
              <w:bottom w:val="single" w:sz="4" w:space="0" w:color="auto"/>
              <w:right w:val="single" w:sz="4" w:space="0" w:color="auto"/>
            </w:tcBorders>
            <w:shd w:val="clear" w:color="auto" w:fill="auto"/>
            <w:noWrap/>
            <w:vAlign w:val="center"/>
            <w:hideMark/>
          </w:tcPr>
          <w:p w14:paraId="1BA3BE8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8,74%</w:t>
            </w:r>
          </w:p>
        </w:tc>
        <w:tc>
          <w:tcPr>
            <w:tcW w:w="883" w:type="pct"/>
            <w:tcBorders>
              <w:top w:val="nil"/>
              <w:left w:val="nil"/>
              <w:bottom w:val="single" w:sz="4" w:space="0" w:color="auto"/>
              <w:right w:val="nil"/>
            </w:tcBorders>
            <w:shd w:val="clear" w:color="auto" w:fill="auto"/>
            <w:noWrap/>
            <w:vAlign w:val="center"/>
            <w:hideMark/>
          </w:tcPr>
          <w:p w14:paraId="73D22420"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w:t>
            </w:r>
          </w:p>
        </w:tc>
        <w:tc>
          <w:tcPr>
            <w:tcW w:w="514" w:type="pct"/>
            <w:tcBorders>
              <w:top w:val="nil"/>
              <w:left w:val="nil"/>
              <w:bottom w:val="single" w:sz="4" w:space="0" w:color="auto"/>
            </w:tcBorders>
            <w:shd w:val="clear" w:color="auto" w:fill="auto"/>
            <w:noWrap/>
            <w:vAlign w:val="center"/>
            <w:hideMark/>
          </w:tcPr>
          <w:p w14:paraId="5FC0D7F5" w14:textId="77777777" w:rsidR="009A552F" w:rsidRPr="00F94B09" w:rsidRDefault="009A552F" w:rsidP="00F94B09">
            <w:pPr>
              <w:jc w:val="center"/>
              <w:rPr>
                <w:color w:val="000000"/>
                <w:sz w:val="20"/>
                <w:szCs w:val="20"/>
                <w:lang w:eastAsia="pt-BR"/>
              </w:rPr>
            </w:pPr>
            <w:r w:rsidRPr="00F94B09">
              <w:rPr>
                <w:color w:val="000000"/>
                <w:sz w:val="20"/>
                <w:szCs w:val="20"/>
                <w:lang w:eastAsia="pt-BR"/>
              </w:rPr>
              <w:t>0,00%</w:t>
            </w:r>
          </w:p>
        </w:tc>
      </w:tr>
      <w:tr w:rsidR="00CE23ED" w:rsidRPr="00CE23ED" w14:paraId="6634CB96" w14:textId="77777777" w:rsidTr="0079285B">
        <w:trPr>
          <w:trHeight w:val="300"/>
        </w:trPr>
        <w:tc>
          <w:tcPr>
            <w:tcW w:w="859" w:type="pct"/>
            <w:vMerge w:val="restart"/>
            <w:tcBorders>
              <w:top w:val="single" w:sz="4" w:space="0" w:color="auto"/>
              <w:bottom w:val="single" w:sz="4" w:space="0" w:color="000000"/>
              <w:right w:val="single" w:sz="4" w:space="0" w:color="auto"/>
            </w:tcBorders>
            <w:shd w:val="clear" w:color="auto" w:fill="auto"/>
            <w:vAlign w:val="center"/>
            <w:hideMark/>
          </w:tcPr>
          <w:p w14:paraId="51D41F8C" w14:textId="77777777" w:rsidR="009A552F" w:rsidRPr="00F94B09" w:rsidRDefault="009A552F" w:rsidP="00E83BAD">
            <w:pPr>
              <w:jc w:val="both"/>
              <w:rPr>
                <w:b/>
                <w:bCs/>
                <w:color w:val="212121"/>
                <w:sz w:val="20"/>
                <w:szCs w:val="20"/>
                <w:lang w:eastAsia="pt-BR"/>
              </w:rPr>
            </w:pPr>
            <w:r w:rsidRPr="00F94B09">
              <w:rPr>
                <w:b/>
                <w:bCs/>
                <w:color w:val="212121"/>
                <w:sz w:val="20"/>
                <w:szCs w:val="20"/>
                <w:lang w:eastAsia="pt-BR"/>
              </w:rPr>
              <w:t>Redução</w:t>
            </w:r>
          </w:p>
        </w:tc>
        <w:tc>
          <w:tcPr>
            <w:tcW w:w="1394" w:type="pct"/>
            <w:tcBorders>
              <w:top w:val="single" w:sz="4" w:space="0" w:color="auto"/>
              <w:left w:val="nil"/>
              <w:bottom w:val="nil"/>
              <w:right w:val="nil"/>
            </w:tcBorders>
            <w:shd w:val="clear" w:color="auto" w:fill="auto"/>
            <w:noWrap/>
            <w:vAlign w:val="center"/>
            <w:hideMark/>
          </w:tcPr>
          <w:p w14:paraId="51CB293B" w14:textId="77777777" w:rsidR="009A552F" w:rsidRPr="00F94B09" w:rsidRDefault="009A552F" w:rsidP="00E83BAD">
            <w:pPr>
              <w:jc w:val="both"/>
              <w:rPr>
                <w:color w:val="000000"/>
                <w:sz w:val="20"/>
                <w:szCs w:val="20"/>
                <w:lang w:eastAsia="pt-BR"/>
              </w:rPr>
            </w:pPr>
            <w:proofErr w:type="spellStart"/>
            <w:r w:rsidRPr="00F94B09">
              <w:rPr>
                <w:color w:val="000000"/>
                <w:sz w:val="20"/>
                <w:szCs w:val="20"/>
                <w:lang w:eastAsia="pt-BR"/>
              </w:rPr>
              <w:t>Large</w:t>
            </w:r>
            <w:proofErr w:type="spellEnd"/>
          </w:p>
        </w:tc>
        <w:tc>
          <w:tcPr>
            <w:tcW w:w="760" w:type="pct"/>
            <w:tcBorders>
              <w:top w:val="single" w:sz="4" w:space="0" w:color="auto"/>
              <w:left w:val="single" w:sz="4" w:space="0" w:color="auto"/>
              <w:bottom w:val="nil"/>
              <w:right w:val="nil"/>
            </w:tcBorders>
            <w:shd w:val="clear" w:color="auto" w:fill="auto"/>
            <w:noWrap/>
            <w:vAlign w:val="center"/>
            <w:hideMark/>
          </w:tcPr>
          <w:p w14:paraId="79F9A16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2.723.620</w:t>
            </w:r>
          </w:p>
        </w:tc>
        <w:tc>
          <w:tcPr>
            <w:tcW w:w="589" w:type="pct"/>
            <w:tcBorders>
              <w:top w:val="single" w:sz="4" w:space="0" w:color="auto"/>
              <w:left w:val="nil"/>
              <w:bottom w:val="nil"/>
              <w:right w:val="nil"/>
            </w:tcBorders>
            <w:shd w:val="clear" w:color="auto" w:fill="auto"/>
            <w:noWrap/>
            <w:vAlign w:val="center"/>
            <w:hideMark/>
          </w:tcPr>
          <w:p w14:paraId="78B319D4" w14:textId="77777777" w:rsidR="009A552F" w:rsidRPr="00F94B09" w:rsidRDefault="009A552F" w:rsidP="00F94B09">
            <w:pPr>
              <w:jc w:val="center"/>
              <w:rPr>
                <w:color w:val="000000"/>
                <w:sz w:val="20"/>
                <w:szCs w:val="20"/>
                <w:lang w:eastAsia="pt-BR"/>
              </w:rPr>
            </w:pPr>
            <w:r w:rsidRPr="00F94B09">
              <w:rPr>
                <w:color w:val="000000"/>
                <w:sz w:val="20"/>
                <w:szCs w:val="20"/>
                <w:lang w:eastAsia="pt-BR"/>
              </w:rPr>
              <w:t>65%</w:t>
            </w:r>
          </w:p>
        </w:tc>
        <w:tc>
          <w:tcPr>
            <w:tcW w:w="883" w:type="pct"/>
            <w:tcBorders>
              <w:top w:val="single" w:sz="4" w:space="0" w:color="auto"/>
              <w:left w:val="single" w:sz="4" w:space="0" w:color="auto"/>
              <w:bottom w:val="nil"/>
              <w:right w:val="nil"/>
            </w:tcBorders>
            <w:shd w:val="clear" w:color="auto" w:fill="auto"/>
            <w:noWrap/>
            <w:vAlign w:val="center"/>
            <w:hideMark/>
          </w:tcPr>
          <w:p w14:paraId="09F2D99F"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c>
          <w:tcPr>
            <w:tcW w:w="514" w:type="pct"/>
            <w:tcBorders>
              <w:top w:val="single" w:sz="4" w:space="0" w:color="auto"/>
              <w:left w:val="nil"/>
              <w:bottom w:val="nil"/>
            </w:tcBorders>
            <w:shd w:val="clear" w:color="auto" w:fill="auto"/>
            <w:noWrap/>
            <w:vAlign w:val="center"/>
            <w:hideMark/>
          </w:tcPr>
          <w:p w14:paraId="44936920"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r>
      <w:tr w:rsidR="00CE23ED" w:rsidRPr="00CE23ED" w14:paraId="372AA404" w14:textId="77777777" w:rsidTr="0079285B">
        <w:trPr>
          <w:trHeight w:val="300"/>
        </w:trPr>
        <w:tc>
          <w:tcPr>
            <w:tcW w:w="859" w:type="pct"/>
            <w:vMerge/>
            <w:tcBorders>
              <w:top w:val="single" w:sz="4" w:space="0" w:color="auto"/>
              <w:bottom w:val="single" w:sz="4" w:space="0" w:color="000000"/>
              <w:right w:val="single" w:sz="4" w:space="0" w:color="auto"/>
            </w:tcBorders>
            <w:vAlign w:val="center"/>
            <w:hideMark/>
          </w:tcPr>
          <w:p w14:paraId="127326F7" w14:textId="77777777" w:rsidR="009A552F" w:rsidRPr="00F94B09" w:rsidRDefault="009A552F" w:rsidP="00E83BAD">
            <w:pPr>
              <w:jc w:val="both"/>
              <w:rPr>
                <w:b/>
                <w:bCs/>
                <w:color w:val="212121"/>
                <w:sz w:val="20"/>
                <w:szCs w:val="20"/>
                <w:lang w:eastAsia="pt-BR"/>
              </w:rPr>
            </w:pPr>
          </w:p>
        </w:tc>
        <w:tc>
          <w:tcPr>
            <w:tcW w:w="1394" w:type="pct"/>
            <w:tcBorders>
              <w:top w:val="nil"/>
              <w:left w:val="nil"/>
              <w:bottom w:val="single" w:sz="4" w:space="0" w:color="auto"/>
              <w:right w:val="nil"/>
            </w:tcBorders>
            <w:shd w:val="clear" w:color="auto" w:fill="auto"/>
            <w:noWrap/>
            <w:vAlign w:val="center"/>
            <w:hideMark/>
          </w:tcPr>
          <w:p w14:paraId="66AA93AA" w14:textId="77777777" w:rsidR="009A552F" w:rsidRPr="00F94B09" w:rsidRDefault="009A552F" w:rsidP="00E83BAD">
            <w:pPr>
              <w:jc w:val="both"/>
              <w:rPr>
                <w:color w:val="000000"/>
                <w:sz w:val="20"/>
                <w:szCs w:val="20"/>
                <w:lang w:eastAsia="pt-BR"/>
              </w:rPr>
            </w:pPr>
            <w:proofErr w:type="spellStart"/>
            <w:r w:rsidRPr="00F94B09">
              <w:rPr>
                <w:color w:val="000000"/>
                <w:sz w:val="20"/>
                <w:szCs w:val="20"/>
                <w:lang w:eastAsia="pt-BR"/>
              </w:rPr>
              <w:t>Small</w:t>
            </w:r>
            <w:proofErr w:type="spellEnd"/>
          </w:p>
        </w:tc>
        <w:tc>
          <w:tcPr>
            <w:tcW w:w="760" w:type="pct"/>
            <w:tcBorders>
              <w:top w:val="nil"/>
              <w:left w:val="single" w:sz="4" w:space="0" w:color="auto"/>
              <w:bottom w:val="nil"/>
              <w:right w:val="nil"/>
            </w:tcBorders>
            <w:shd w:val="clear" w:color="auto" w:fill="auto"/>
            <w:noWrap/>
            <w:vAlign w:val="center"/>
            <w:hideMark/>
          </w:tcPr>
          <w:p w14:paraId="38EFDAF7" w14:textId="77777777" w:rsidR="009A552F" w:rsidRPr="00F94B09" w:rsidRDefault="009A552F" w:rsidP="00F94B09">
            <w:pPr>
              <w:jc w:val="center"/>
              <w:rPr>
                <w:color w:val="000000"/>
                <w:sz w:val="20"/>
                <w:szCs w:val="20"/>
                <w:lang w:eastAsia="pt-BR"/>
              </w:rPr>
            </w:pPr>
            <w:r w:rsidRPr="00F94B09">
              <w:rPr>
                <w:color w:val="000000"/>
                <w:sz w:val="20"/>
                <w:szCs w:val="20"/>
                <w:lang w:eastAsia="pt-BR"/>
              </w:rPr>
              <w:t>1.486.505</w:t>
            </w:r>
          </w:p>
        </w:tc>
        <w:tc>
          <w:tcPr>
            <w:tcW w:w="589" w:type="pct"/>
            <w:tcBorders>
              <w:top w:val="nil"/>
              <w:left w:val="nil"/>
              <w:bottom w:val="nil"/>
              <w:right w:val="nil"/>
            </w:tcBorders>
            <w:shd w:val="clear" w:color="auto" w:fill="auto"/>
            <w:noWrap/>
            <w:vAlign w:val="center"/>
            <w:hideMark/>
          </w:tcPr>
          <w:p w14:paraId="64B01962"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35%</w:t>
            </w:r>
          </w:p>
        </w:tc>
        <w:tc>
          <w:tcPr>
            <w:tcW w:w="883" w:type="pct"/>
            <w:tcBorders>
              <w:top w:val="nil"/>
              <w:left w:val="single" w:sz="4" w:space="0" w:color="auto"/>
              <w:bottom w:val="single" w:sz="4" w:space="0" w:color="auto"/>
              <w:right w:val="nil"/>
            </w:tcBorders>
            <w:shd w:val="clear" w:color="auto" w:fill="auto"/>
            <w:noWrap/>
            <w:vAlign w:val="center"/>
            <w:hideMark/>
          </w:tcPr>
          <w:p w14:paraId="52CAB4C5"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c>
          <w:tcPr>
            <w:tcW w:w="514" w:type="pct"/>
            <w:tcBorders>
              <w:top w:val="nil"/>
              <w:left w:val="nil"/>
              <w:bottom w:val="single" w:sz="4" w:space="0" w:color="auto"/>
            </w:tcBorders>
            <w:shd w:val="clear" w:color="auto" w:fill="auto"/>
            <w:noWrap/>
            <w:vAlign w:val="center"/>
            <w:hideMark/>
          </w:tcPr>
          <w:p w14:paraId="4585C02F"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r>
      <w:tr w:rsidR="00CE23ED" w:rsidRPr="00CE23ED" w14:paraId="7A38A6E4" w14:textId="77777777" w:rsidTr="0079285B">
        <w:trPr>
          <w:trHeight w:val="300"/>
        </w:trPr>
        <w:tc>
          <w:tcPr>
            <w:tcW w:w="859" w:type="pct"/>
            <w:vMerge w:val="restart"/>
            <w:tcBorders>
              <w:top w:val="nil"/>
              <w:bottom w:val="single" w:sz="4" w:space="0" w:color="000000"/>
              <w:right w:val="single" w:sz="4" w:space="0" w:color="auto"/>
            </w:tcBorders>
            <w:shd w:val="clear" w:color="auto" w:fill="auto"/>
            <w:vAlign w:val="center"/>
            <w:hideMark/>
          </w:tcPr>
          <w:p w14:paraId="79E2F83A" w14:textId="77777777" w:rsidR="009A552F" w:rsidRPr="00F94B09" w:rsidRDefault="009A552F" w:rsidP="00A11E67">
            <w:pPr>
              <w:rPr>
                <w:b/>
                <w:bCs/>
                <w:color w:val="000000"/>
                <w:sz w:val="20"/>
                <w:szCs w:val="20"/>
                <w:lang w:eastAsia="pt-BR"/>
              </w:rPr>
            </w:pPr>
            <w:r w:rsidRPr="00F94B09">
              <w:rPr>
                <w:b/>
                <w:bCs/>
                <w:color w:val="000000"/>
                <w:sz w:val="20"/>
                <w:szCs w:val="20"/>
                <w:lang w:eastAsia="pt-BR"/>
              </w:rPr>
              <w:t>Escala de Atividade</w:t>
            </w:r>
          </w:p>
        </w:tc>
        <w:tc>
          <w:tcPr>
            <w:tcW w:w="1394" w:type="pct"/>
            <w:tcBorders>
              <w:top w:val="nil"/>
              <w:left w:val="nil"/>
              <w:bottom w:val="nil"/>
              <w:right w:val="nil"/>
            </w:tcBorders>
            <w:shd w:val="clear" w:color="auto" w:fill="auto"/>
            <w:noWrap/>
            <w:vAlign w:val="center"/>
            <w:hideMark/>
          </w:tcPr>
          <w:p w14:paraId="1359D3EA" w14:textId="77777777" w:rsidR="009A552F" w:rsidRPr="00F94B09" w:rsidRDefault="009A552F" w:rsidP="00E83BAD">
            <w:pPr>
              <w:jc w:val="both"/>
              <w:rPr>
                <w:color w:val="000000"/>
                <w:sz w:val="20"/>
                <w:szCs w:val="20"/>
                <w:lang w:eastAsia="pt-BR"/>
              </w:rPr>
            </w:pPr>
            <w:proofErr w:type="spellStart"/>
            <w:r w:rsidRPr="00F94B09">
              <w:rPr>
                <w:color w:val="000000"/>
                <w:sz w:val="20"/>
                <w:szCs w:val="20"/>
                <w:lang w:eastAsia="pt-BR"/>
              </w:rPr>
              <w:t>Large</w:t>
            </w:r>
            <w:proofErr w:type="spellEnd"/>
          </w:p>
        </w:tc>
        <w:tc>
          <w:tcPr>
            <w:tcW w:w="760" w:type="pct"/>
            <w:tcBorders>
              <w:top w:val="single" w:sz="4" w:space="0" w:color="auto"/>
              <w:left w:val="single" w:sz="4" w:space="0" w:color="auto"/>
              <w:bottom w:val="nil"/>
              <w:right w:val="nil"/>
            </w:tcBorders>
            <w:shd w:val="clear" w:color="auto" w:fill="auto"/>
            <w:noWrap/>
            <w:vAlign w:val="center"/>
            <w:hideMark/>
          </w:tcPr>
          <w:p w14:paraId="782381C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38</w:t>
            </w:r>
          </w:p>
        </w:tc>
        <w:tc>
          <w:tcPr>
            <w:tcW w:w="589" w:type="pct"/>
            <w:tcBorders>
              <w:top w:val="single" w:sz="4" w:space="0" w:color="auto"/>
              <w:left w:val="nil"/>
              <w:bottom w:val="nil"/>
              <w:right w:val="single" w:sz="4" w:space="0" w:color="auto"/>
            </w:tcBorders>
            <w:shd w:val="clear" w:color="auto" w:fill="auto"/>
            <w:noWrap/>
            <w:vAlign w:val="center"/>
            <w:hideMark/>
          </w:tcPr>
          <w:p w14:paraId="0537DF2F" w14:textId="77777777" w:rsidR="009A552F" w:rsidRPr="00F94B09" w:rsidRDefault="009A552F" w:rsidP="00F94B09">
            <w:pPr>
              <w:jc w:val="center"/>
              <w:rPr>
                <w:color w:val="000000"/>
                <w:sz w:val="20"/>
                <w:szCs w:val="20"/>
                <w:lang w:eastAsia="pt-BR"/>
              </w:rPr>
            </w:pPr>
            <w:r w:rsidRPr="00F94B09">
              <w:rPr>
                <w:color w:val="000000"/>
                <w:sz w:val="20"/>
                <w:szCs w:val="20"/>
                <w:lang w:eastAsia="pt-BR"/>
              </w:rPr>
              <w:t>37%</w:t>
            </w:r>
          </w:p>
        </w:tc>
        <w:tc>
          <w:tcPr>
            <w:tcW w:w="883" w:type="pct"/>
            <w:tcBorders>
              <w:top w:val="nil"/>
              <w:left w:val="nil"/>
              <w:bottom w:val="nil"/>
              <w:right w:val="nil"/>
            </w:tcBorders>
            <w:shd w:val="clear" w:color="auto" w:fill="auto"/>
            <w:noWrap/>
            <w:vAlign w:val="center"/>
            <w:hideMark/>
          </w:tcPr>
          <w:p w14:paraId="4B79C0A7"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c>
          <w:tcPr>
            <w:tcW w:w="514" w:type="pct"/>
            <w:tcBorders>
              <w:top w:val="nil"/>
              <w:left w:val="nil"/>
              <w:bottom w:val="nil"/>
            </w:tcBorders>
            <w:shd w:val="clear" w:color="auto" w:fill="auto"/>
            <w:noWrap/>
            <w:vAlign w:val="center"/>
            <w:hideMark/>
          </w:tcPr>
          <w:p w14:paraId="18E09173"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r>
      <w:tr w:rsidR="00CE23ED" w:rsidRPr="00CE23ED" w14:paraId="04FEF8E6" w14:textId="77777777" w:rsidTr="0079285B">
        <w:trPr>
          <w:trHeight w:val="300"/>
        </w:trPr>
        <w:tc>
          <w:tcPr>
            <w:tcW w:w="859" w:type="pct"/>
            <w:vMerge/>
            <w:tcBorders>
              <w:top w:val="nil"/>
              <w:bottom w:val="single" w:sz="4" w:space="0" w:color="000000"/>
              <w:right w:val="single" w:sz="4" w:space="0" w:color="auto"/>
            </w:tcBorders>
            <w:vAlign w:val="center"/>
            <w:hideMark/>
          </w:tcPr>
          <w:p w14:paraId="6A6768EB" w14:textId="77777777" w:rsidR="009A552F" w:rsidRPr="00F94B09" w:rsidRDefault="009A552F" w:rsidP="00E83BAD">
            <w:pPr>
              <w:jc w:val="both"/>
              <w:rPr>
                <w:b/>
                <w:bCs/>
                <w:color w:val="000000"/>
                <w:sz w:val="20"/>
                <w:szCs w:val="20"/>
                <w:lang w:eastAsia="pt-BR"/>
              </w:rPr>
            </w:pPr>
          </w:p>
        </w:tc>
        <w:tc>
          <w:tcPr>
            <w:tcW w:w="1394" w:type="pct"/>
            <w:tcBorders>
              <w:top w:val="nil"/>
              <w:left w:val="nil"/>
              <w:bottom w:val="single" w:sz="4" w:space="0" w:color="auto"/>
              <w:right w:val="nil"/>
            </w:tcBorders>
            <w:shd w:val="clear" w:color="auto" w:fill="auto"/>
            <w:noWrap/>
            <w:vAlign w:val="center"/>
            <w:hideMark/>
          </w:tcPr>
          <w:p w14:paraId="1C30F563" w14:textId="77777777" w:rsidR="009A552F" w:rsidRPr="00F94B09" w:rsidRDefault="009A552F" w:rsidP="00E83BAD">
            <w:pPr>
              <w:jc w:val="both"/>
              <w:rPr>
                <w:color w:val="000000"/>
                <w:sz w:val="20"/>
                <w:szCs w:val="20"/>
                <w:lang w:eastAsia="pt-BR"/>
              </w:rPr>
            </w:pPr>
            <w:proofErr w:type="spellStart"/>
            <w:r w:rsidRPr="00F94B09">
              <w:rPr>
                <w:color w:val="000000"/>
                <w:sz w:val="20"/>
                <w:szCs w:val="20"/>
                <w:lang w:eastAsia="pt-BR"/>
              </w:rPr>
              <w:t>Small</w:t>
            </w:r>
            <w:proofErr w:type="spellEnd"/>
          </w:p>
        </w:tc>
        <w:tc>
          <w:tcPr>
            <w:tcW w:w="760" w:type="pct"/>
            <w:tcBorders>
              <w:top w:val="nil"/>
              <w:left w:val="single" w:sz="4" w:space="0" w:color="auto"/>
              <w:bottom w:val="single" w:sz="4" w:space="0" w:color="auto"/>
              <w:right w:val="nil"/>
            </w:tcBorders>
            <w:shd w:val="clear" w:color="auto" w:fill="auto"/>
            <w:noWrap/>
            <w:vAlign w:val="center"/>
            <w:hideMark/>
          </w:tcPr>
          <w:p w14:paraId="1D428DAA" w14:textId="77777777" w:rsidR="009A552F" w:rsidRPr="00F94B09" w:rsidRDefault="009A552F" w:rsidP="00F94B09">
            <w:pPr>
              <w:jc w:val="center"/>
              <w:rPr>
                <w:color w:val="000000"/>
                <w:sz w:val="20"/>
                <w:szCs w:val="20"/>
                <w:lang w:eastAsia="pt-BR"/>
              </w:rPr>
            </w:pPr>
            <w:r w:rsidRPr="00F94B09">
              <w:rPr>
                <w:color w:val="000000"/>
                <w:sz w:val="20"/>
                <w:szCs w:val="20"/>
                <w:lang w:eastAsia="pt-BR"/>
              </w:rPr>
              <w:t>65</w:t>
            </w:r>
          </w:p>
        </w:tc>
        <w:tc>
          <w:tcPr>
            <w:tcW w:w="589" w:type="pct"/>
            <w:tcBorders>
              <w:top w:val="nil"/>
              <w:left w:val="nil"/>
              <w:bottom w:val="single" w:sz="4" w:space="0" w:color="auto"/>
              <w:right w:val="single" w:sz="4" w:space="0" w:color="auto"/>
            </w:tcBorders>
            <w:shd w:val="clear" w:color="auto" w:fill="auto"/>
            <w:noWrap/>
            <w:vAlign w:val="center"/>
            <w:hideMark/>
          </w:tcPr>
          <w:p w14:paraId="1D417D2A" w14:textId="77777777" w:rsidR="009A552F" w:rsidRPr="00F94B09" w:rsidRDefault="009A552F" w:rsidP="00F94B09">
            <w:pPr>
              <w:jc w:val="center"/>
              <w:rPr>
                <w:color w:val="000000"/>
                <w:sz w:val="20"/>
                <w:szCs w:val="20"/>
                <w:lang w:eastAsia="pt-BR"/>
              </w:rPr>
            </w:pPr>
            <w:r w:rsidRPr="00F94B09">
              <w:rPr>
                <w:color w:val="000000"/>
                <w:sz w:val="20"/>
                <w:szCs w:val="20"/>
                <w:lang w:eastAsia="pt-BR"/>
              </w:rPr>
              <w:t>63%</w:t>
            </w:r>
          </w:p>
        </w:tc>
        <w:tc>
          <w:tcPr>
            <w:tcW w:w="883" w:type="pct"/>
            <w:tcBorders>
              <w:top w:val="nil"/>
              <w:left w:val="nil"/>
              <w:bottom w:val="single" w:sz="4" w:space="0" w:color="auto"/>
              <w:right w:val="nil"/>
            </w:tcBorders>
            <w:shd w:val="clear" w:color="auto" w:fill="auto"/>
            <w:noWrap/>
            <w:vAlign w:val="center"/>
            <w:hideMark/>
          </w:tcPr>
          <w:p w14:paraId="746B75E4"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c>
          <w:tcPr>
            <w:tcW w:w="514" w:type="pct"/>
            <w:tcBorders>
              <w:top w:val="nil"/>
              <w:left w:val="nil"/>
              <w:bottom w:val="single" w:sz="4" w:space="0" w:color="auto"/>
            </w:tcBorders>
            <w:shd w:val="clear" w:color="auto" w:fill="auto"/>
            <w:noWrap/>
            <w:vAlign w:val="center"/>
            <w:hideMark/>
          </w:tcPr>
          <w:p w14:paraId="5996B086" w14:textId="77777777" w:rsidR="009A552F" w:rsidRPr="00F94B09" w:rsidRDefault="009A552F" w:rsidP="00F94B09">
            <w:pPr>
              <w:jc w:val="center"/>
              <w:rPr>
                <w:b/>
                <w:bCs/>
                <w:color w:val="000000"/>
                <w:sz w:val="20"/>
                <w:szCs w:val="20"/>
                <w:lang w:eastAsia="pt-BR"/>
              </w:rPr>
            </w:pPr>
            <w:r w:rsidRPr="00F94B09">
              <w:rPr>
                <w:b/>
                <w:bCs/>
                <w:color w:val="000000"/>
                <w:sz w:val="20"/>
                <w:szCs w:val="20"/>
                <w:lang w:eastAsia="pt-BR"/>
              </w:rPr>
              <w:t>-</w:t>
            </w:r>
          </w:p>
        </w:tc>
      </w:tr>
    </w:tbl>
    <w:p w14:paraId="449F3877" w14:textId="77777777" w:rsidR="009A552F" w:rsidRPr="00E83BAD" w:rsidRDefault="009A552F" w:rsidP="00E83BAD">
      <w:pPr>
        <w:pStyle w:val="HTMLPreformatted"/>
        <w:shd w:val="clear" w:color="auto" w:fill="FFFFFF"/>
        <w:spacing w:after="120"/>
        <w:ind w:firstLine="567"/>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Fonte: Própria autoria.</w:t>
      </w:r>
    </w:p>
    <w:p w14:paraId="2B460DD1" w14:textId="77777777" w:rsidR="009A552F" w:rsidRPr="00E83BAD" w:rsidRDefault="009A552F" w:rsidP="00E83BAD">
      <w:pPr>
        <w:pStyle w:val="CommentText"/>
        <w:spacing w:after="0"/>
        <w:rPr>
          <w:color w:val="212121"/>
          <w:sz w:val="24"/>
          <w:szCs w:val="24"/>
          <w:lang w:val="pt-PT"/>
        </w:rPr>
      </w:pPr>
      <w:r w:rsidRPr="00E83BAD">
        <w:rPr>
          <w:color w:val="212121"/>
          <w:sz w:val="24"/>
          <w:szCs w:val="24"/>
          <w:lang w:val="pt-PT"/>
        </w:rPr>
        <w:t xml:space="preserve">É possível identificar que mesmo contando com um menor número de projetos de larga escala (apenas 37% do total), esses, têm um valor de redução mais elevado no total (65% da redução total). Tendo em vista que, conforme a Tabela 1, os projetos classificados como de larga escala representam 65% da redução na emissão de gases na atmosfera, optou-se por delimitar a análise a estes projetos. Além disso, os projetos classificados como de larga escala foram escolhidos, porque a metodologia indicada para sua elaboração exige a divulgação das análises financeiras, que é dispensada na metodologia a ser utilizada pelos pequenos projetos </w:t>
      </w:r>
      <w:r w:rsidRPr="00E83BAD">
        <w:rPr>
          <w:color w:val="212121"/>
          <w:sz w:val="24"/>
          <w:szCs w:val="24"/>
          <w:lang w:val="pt-PT"/>
        </w:rPr>
        <w:fldChar w:fldCharType="begin" w:fldLock="1"/>
      </w:r>
      <w:r w:rsidRPr="00E83BAD">
        <w:rPr>
          <w:color w:val="212121"/>
          <w:sz w:val="24"/>
          <w:szCs w:val="24"/>
          <w:lang w:val="pt-PT"/>
        </w:rPr>
        <w:instrText>ADDIN CSL_CITATION { "citationItems" : [ { "id" : "ITEM-1", "itemData" : { "author" : [ { "dropping-particle" : "", "family" : "UNFCCC", "given" : "", "non-dropping-particle" : "", "parse-names" : false, "suffix" : "" } ], "container-title" : "ACM0010: GHG emission reductions from manure management systems --- Version 8.0", "id" : "ITEM-1", "issued" : { "date-parts" : [ [ "2017" ] ] }, "title" : "CDM: GHG emission reductions from manure management systems --- Version 8.0", "type" : "webpage" }, "uris" : [ "http://www.mendeley.com/documents/?uuid=d95be243-5985-400e-aa92-14512e7c1318", "http://www.mendeley.com/documents/?uuid=ddef6f0f-eebc-3ecb-8179-cd1688d787d3" ] } ], "mendeley" : { "formattedCitation" : "(UNFCCC, 2017)", "plainTextFormattedCitation" : "(UNFCCC, 2017)", "previouslyFormattedCitation" : "(UNFCCC, 2017)" }, "properties" : {  }, "schema" : "https://github.com/citation-style-language/schema/raw/master/csl-citation.json" }</w:instrText>
      </w:r>
      <w:r w:rsidRPr="00E83BAD">
        <w:rPr>
          <w:color w:val="212121"/>
          <w:sz w:val="24"/>
          <w:szCs w:val="24"/>
          <w:lang w:val="pt-PT"/>
        </w:rPr>
        <w:fldChar w:fldCharType="separate"/>
      </w:r>
      <w:r w:rsidRPr="00E83BAD">
        <w:rPr>
          <w:noProof/>
          <w:color w:val="212121"/>
          <w:sz w:val="24"/>
          <w:szCs w:val="24"/>
          <w:lang w:val="pt-PT"/>
        </w:rPr>
        <w:t>(UNFCCC, 2017)</w:t>
      </w:r>
      <w:r w:rsidRPr="00E83BAD">
        <w:rPr>
          <w:color w:val="212121"/>
          <w:sz w:val="24"/>
          <w:szCs w:val="24"/>
          <w:lang w:val="pt-PT"/>
        </w:rPr>
        <w:fldChar w:fldCharType="end"/>
      </w:r>
      <w:r w:rsidRPr="00E83BAD">
        <w:rPr>
          <w:color w:val="212121"/>
          <w:sz w:val="24"/>
          <w:szCs w:val="24"/>
          <w:lang w:val="pt-PT"/>
        </w:rPr>
        <w:t xml:space="preserve">. </w:t>
      </w:r>
    </w:p>
    <w:p w14:paraId="398CC393" w14:textId="77777777" w:rsidR="009A552F" w:rsidRPr="00E83BAD" w:rsidRDefault="009A552F" w:rsidP="00E83BAD">
      <w:pPr>
        <w:pStyle w:val="CommentText"/>
        <w:spacing w:after="0"/>
        <w:rPr>
          <w:color w:val="212121"/>
          <w:sz w:val="24"/>
          <w:szCs w:val="24"/>
          <w:lang w:val="pt-PT"/>
        </w:rPr>
      </w:pPr>
      <w:r w:rsidRPr="00E83BAD">
        <w:rPr>
          <w:color w:val="212121"/>
          <w:sz w:val="24"/>
          <w:szCs w:val="24"/>
          <w:lang w:val="pt-PT"/>
        </w:rPr>
        <w:lastRenderedPageBreak/>
        <w:t xml:space="preserve">Depois de definida a amostra, foi analisada a qualidade da informação financeira dos projetos. A qualidade foi definida diante de duas análises. A primeira consistiu em uma análise financeira, em que foram identificadas as premissas utilizadas. Essa primeira análise verificou se os projetos consideraram todos os fatores na formação dos indicadores financeiros conforme indicado por Assaf Neto (1992) e a ACM0010, já vista. A segunda análise permitiu verificar se os projetos atenderam as características qualitativas conforme pronunciamentos do FASB na formação da divulgação dos relatórios financeiros. </w:t>
      </w:r>
    </w:p>
    <w:p w14:paraId="68379E2A" w14:textId="148C97FD" w:rsidR="009A552F" w:rsidRPr="00E83BAD" w:rsidRDefault="009A552F" w:rsidP="00E83BAD">
      <w:pPr>
        <w:pStyle w:val="CommentText"/>
        <w:spacing w:after="0"/>
        <w:rPr>
          <w:color w:val="212121"/>
          <w:sz w:val="24"/>
          <w:szCs w:val="24"/>
          <w:lang w:val="pt-PT"/>
        </w:rPr>
      </w:pPr>
      <w:r w:rsidRPr="00E83BAD">
        <w:rPr>
          <w:color w:val="212121"/>
          <w:sz w:val="24"/>
          <w:szCs w:val="24"/>
          <w:lang w:val="pt-PT"/>
        </w:rPr>
        <w:t xml:space="preserve">Assaf Neto (1992) afirma que as informações mínimas para avaliação de investimentos consideram a Taxa Interna de Retorno e Valor Presente Líquido. Verficou-se a adequação das informações financeiras divulgadas, tais como as taxas de retorno e de desconto, com as taxas praticadas na mesma época e nos países em que foram realizados, bem como com relação às próprias diretrizes da UNFCCC </w:t>
      </w:r>
      <w:r w:rsidRPr="00E83BAD">
        <w:rPr>
          <w:color w:val="212121"/>
          <w:sz w:val="24"/>
          <w:szCs w:val="24"/>
          <w:lang w:val="pt-PT"/>
        </w:rPr>
        <w:fldChar w:fldCharType="begin" w:fldLock="1"/>
      </w:r>
      <w:r w:rsidRPr="00E83BAD">
        <w:rPr>
          <w:color w:val="212121"/>
          <w:sz w:val="24"/>
          <w:szCs w:val="24"/>
          <w:lang w:val="pt-PT"/>
        </w:rPr>
        <w:instrText>ADDIN CSL_CITATION { "citationItems" : [ { "id" : "ITEM-1", "itemData" : { "author" : [ { "dropping-particle" : "", "family" : "UNFCCC", "given" : "", "non-dropping-particle" : "", "parse-names" : false, "suffix" : "" } ], "id" : "ITEM-1", "issued" : { "date-parts" : [ [ "2016" ] ] }, "title" : "Methodological tool Investment analysis", "type" : "article" }, "uris" : [ "http://www.mendeley.com/documents/?uuid=650dd9f7-783c-4bf4-b9af-1e1b0e9d7d25", "http://www.mendeley.com/documents/?uuid=9f818765-caa5-32c9-aa93-534dbc0f3e4b" ] } ], "mendeley" : { "formattedCitation" : "(UNFCCC, 2016)", "plainTextFormattedCitation" : "(UNFCCC, 2016)", "previouslyFormattedCitation" : "(2016)" }, "properties" : {  }, "schema" : "https://github.com/citation-style-language/schema/raw/master/csl-citation.json" }</w:instrText>
      </w:r>
      <w:r w:rsidRPr="00E83BAD">
        <w:rPr>
          <w:color w:val="212121"/>
          <w:sz w:val="24"/>
          <w:szCs w:val="24"/>
          <w:lang w:val="pt-PT"/>
        </w:rPr>
        <w:fldChar w:fldCharType="separate"/>
      </w:r>
      <w:r w:rsidRPr="00E83BAD">
        <w:rPr>
          <w:noProof/>
          <w:color w:val="212121"/>
          <w:sz w:val="24"/>
          <w:szCs w:val="24"/>
          <w:lang w:val="pt-PT"/>
        </w:rPr>
        <w:t>(UNFCCC, 2016)</w:t>
      </w:r>
      <w:r w:rsidRPr="00E83BAD">
        <w:rPr>
          <w:color w:val="212121"/>
          <w:sz w:val="24"/>
          <w:szCs w:val="24"/>
          <w:lang w:val="pt-PT"/>
        </w:rPr>
        <w:fldChar w:fldCharType="end"/>
      </w:r>
      <w:r w:rsidRPr="00E83BAD">
        <w:rPr>
          <w:color w:val="212121"/>
          <w:sz w:val="24"/>
          <w:szCs w:val="24"/>
          <w:lang w:val="pt-PT"/>
        </w:rPr>
        <w:t>.</w:t>
      </w:r>
      <w:r w:rsidRPr="00E83BAD">
        <w:rPr>
          <w:sz w:val="24"/>
          <w:szCs w:val="24"/>
        </w:rPr>
        <w:t xml:space="preserve"> </w:t>
      </w:r>
      <w:r w:rsidRPr="00E83BAD">
        <w:rPr>
          <w:color w:val="212121"/>
          <w:sz w:val="24"/>
          <w:szCs w:val="24"/>
          <w:lang w:val="pt-PT"/>
        </w:rPr>
        <w:t xml:space="preserve">O cenário econômico em que se encontravam os projetos é relevante para as estimativas das taxas de desconto utilizadas nestes indicadores financeiros, portanto, este também foi analisado. Também foram feitas análises com relação cálculos dos indicadores e preços esperados dos créditos de carbono, considerando o despenho desse mercado nos anos de 2005 a 2010 e que impactariam na receita de CRE’s, que, por definição, tornam os projetos de MDL viáveis. </w:t>
      </w:r>
      <w:r w:rsidR="00CE23ED">
        <w:rPr>
          <w:color w:val="212121"/>
          <w:sz w:val="24"/>
          <w:szCs w:val="24"/>
          <w:lang w:val="pt-PT"/>
        </w:rPr>
        <w:t>F</w:t>
      </w:r>
      <w:r w:rsidRPr="00E83BAD">
        <w:rPr>
          <w:color w:val="212121"/>
          <w:sz w:val="24"/>
          <w:szCs w:val="24"/>
          <w:lang w:val="pt-PT"/>
        </w:rPr>
        <w:t xml:space="preserve">oram feitas análises com relação a qualidade da precisão das estimativas desses indicadores no contexto do cenário econômico em que atuaram os projetos </w:t>
      </w:r>
      <w:proofErr w:type="gramStart"/>
      <w:r w:rsidRPr="00E83BAD">
        <w:rPr>
          <w:color w:val="212121"/>
          <w:sz w:val="24"/>
          <w:szCs w:val="24"/>
          <w:lang w:val="pt-PT"/>
        </w:rPr>
        <w:t>registrados</w:t>
      </w:r>
      <w:proofErr w:type="gramEnd"/>
      <w:r w:rsidRPr="00E83BAD">
        <w:rPr>
          <w:color w:val="212121"/>
          <w:sz w:val="24"/>
          <w:szCs w:val="24"/>
          <w:lang w:val="pt-PT"/>
        </w:rPr>
        <w:t xml:space="preserve">. Por fim da primeira análise, buscou-se no conteúdo dos projetos assuntos e outras observações relacionadas as estimativas. </w:t>
      </w:r>
    </w:p>
    <w:p w14:paraId="38BBA134" w14:textId="70AF7A42" w:rsidR="009A552F" w:rsidRPr="00E83BAD" w:rsidRDefault="009A552F" w:rsidP="00E83BAD">
      <w:pPr>
        <w:ind w:firstLine="709"/>
        <w:jc w:val="both"/>
      </w:pPr>
      <w:r w:rsidRPr="00E83BAD">
        <w:rPr>
          <w:color w:val="212121"/>
          <w:lang w:val="pt-PT"/>
        </w:rPr>
        <w:t xml:space="preserve">Na segunda análise, buscou-se verificar se as informações financeiras divulgadas nos relatórios atenderam as características qualitativas </w:t>
      </w:r>
      <w:r w:rsidR="00CE23ED">
        <w:rPr>
          <w:color w:val="212121"/>
          <w:lang w:val="pt-PT"/>
        </w:rPr>
        <w:t>tendo como base o trabalho de</w:t>
      </w:r>
      <w:r w:rsidRPr="00E83BAD">
        <w:rPr>
          <w:color w:val="212121"/>
          <w:lang w:val="pt-PT"/>
        </w:rPr>
        <w:t xml:space="preserve"> Hendriksen e VanBreda (1999)</w:t>
      </w:r>
      <w:r w:rsidR="002E29DD">
        <w:rPr>
          <w:color w:val="212121"/>
          <w:lang w:val="pt-PT"/>
        </w:rPr>
        <w:t xml:space="preserve"> e o </w:t>
      </w:r>
      <w:r w:rsidR="002E29DD" w:rsidRPr="00E83BAD">
        <w:rPr>
          <w:color w:val="212121"/>
          <w:lang w:val="pt-PT"/>
        </w:rPr>
        <w:t>Financial Accounting Standard Board (FASB)</w:t>
      </w:r>
      <w:r w:rsidRPr="00E83BAD">
        <w:rPr>
          <w:color w:val="212121"/>
          <w:lang w:val="pt-PT"/>
        </w:rPr>
        <w:t>. Nesta segunda análise,</w:t>
      </w:r>
      <w:r w:rsidRPr="00E83BAD">
        <w:t xml:space="preserve"> o foco foi a verificação do cumprimento das características qualitativas, na formação das informações financeiras divulgadas nos relatórios financeiros. Assim, na segunda análise, a qualidade é encontrada naquela informação que tem um valor preditivo e valor de </w:t>
      </w:r>
      <w:r w:rsidRPr="00E83BAD">
        <w:rPr>
          <w:i/>
        </w:rPr>
        <w:t>feedback</w:t>
      </w:r>
      <w:r w:rsidRPr="00E83BAD">
        <w:t xml:space="preserve"> adequados, são neutras, verificáveis, fidedignas, possuem capacidade de ser útil e fazer diferença no processo de decisão, são uniformes e consistentes. Assim, </w:t>
      </w:r>
      <w:proofErr w:type="gramStart"/>
      <w:r w:rsidRPr="00E83BAD">
        <w:t>a</w:t>
      </w:r>
      <w:proofErr w:type="gramEnd"/>
      <w:r w:rsidRPr="00E83BAD">
        <w:t xml:space="preserve"> informação deve ter capacidade de influenciar a tomada de decisão.</w:t>
      </w:r>
    </w:p>
    <w:p w14:paraId="1124099B"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Assim, foram analisadas qualitativamente (conteúdo e significado) as informações financeiras dos projetos em questão. </w:t>
      </w:r>
    </w:p>
    <w:p w14:paraId="2E913E40" w14:textId="77777777"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p>
    <w:p w14:paraId="5A9FC920" w14:textId="49BD9ABC" w:rsidR="006200A5" w:rsidRDefault="009A552F" w:rsidP="006200A5">
      <w:pPr>
        <w:pStyle w:val="Heading2"/>
        <w:spacing w:before="0" w:line="240" w:lineRule="auto"/>
        <w:ind w:left="0" w:firstLine="709"/>
        <w:rPr>
          <w:szCs w:val="24"/>
        </w:rPr>
      </w:pPr>
      <w:r w:rsidRPr="00E83BAD">
        <w:rPr>
          <w:szCs w:val="24"/>
        </w:rPr>
        <w:t>R</w:t>
      </w:r>
      <w:r w:rsidR="006448C0" w:rsidRPr="00E83BAD">
        <w:rPr>
          <w:szCs w:val="24"/>
        </w:rPr>
        <w:t>ESULTADOS</w:t>
      </w:r>
    </w:p>
    <w:p w14:paraId="09E60541" w14:textId="77777777" w:rsidR="0079285B" w:rsidRPr="0079285B" w:rsidRDefault="0079285B" w:rsidP="0079285B"/>
    <w:p w14:paraId="51601AF6" w14:textId="77777777" w:rsidR="009A552F" w:rsidRPr="00E83BAD" w:rsidRDefault="009A552F" w:rsidP="00E83BAD">
      <w:pPr>
        <w:pStyle w:val="Heading2"/>
        <w:numPr>
          <w:ilvl w:val="1"/>
          <w:numId w:val="2"/>
        </w:numPr>
        <w:spacing w:before="0" w:line="240" w:lineRule="auto"/>
        <w:ind w:left="0" w:firstLine="709"/>
        <w:rPr>
          <w:szCs w:val="24"/>
        </w:rPr>
      </w:pPr>
      <w:r w:rsidRPr="00E83BAD">
        <w:rPr>
          <w:szCs w:val="24"/>
        </w:rPr>
        <w:t>Resultados da Primeira Análise – Premissas</w:t>
      </w:r>
    </w:p>
    <w:p w14:paraId="6EF7308C" w14:textId="77777777" w:rsidR="009A552F" w:rsidRPr="00E83BAD" w:rsidRDefault="009A552F" w:rsidP="00E83BAD">
      <w:pPr>
        <w:pStyle w:val="Heading2"/>
        <w:numPr>
          <w:ilvl w:val="2"/>
          <w:numId w:val="2"/>
        </w:numPr>
        <w:spacing w:before="0" w:line="240" w:lineRule="auto"/>
        <w:ind w:left="0" w:firstLine="709"/>
        <w:rPr>
          <w:szCs w:val="24"/>
        </w:rPr>
      </w:pPr>
      <w:r w:rsidRPr="00E83BAD">
        <w:rPr>
          <w:szCs w:val="24"/>
        </w:rPr>
        <w:t xml:space="preserve">Análise da Taxa Interna de Retorno (TIR) e do Valor Presente Líquido (VPL) </w:t>
      </w:r>
    </w:p>
    <w:p w14:paraId="1C0E5B41" w14:textId="77777777" w:rsidR="009A552F" w:rsidRPr="00E83BAD" w:rsidRDefault="009A552F" w:rsidP="00E83BAD">
      <w:pPr>
        <w:ind w:firstLine="709"/>
        <w:jc w:val="both"/>
        <w:rPr>
          <w:color w:val="212121"/>
          <w:lang w:val="pt-PT"/>
        </w:rPr>
      </w:pPr>
      <w:r w:rsidRPr="00E83BAD">
        <w:rPr>
          <w:color w:val="212121"/>
          <w:lang w:val="pt-PT"/>
        </w:rPr>
        <w:t xml:space="preserve">Foi analisado o </w:t>
      </w:r>
      <w:r w:rsidRPr="00E83BAD">
        <w:rPr>
          <w:i/>
          <w:color w:val="212121"/>
          <w:lang w:val="pt-PT"/>
        </w:rPr>
        <w:t>Internal Rate Return – IRR</w:t>
      </w:r>
      <w:r w:rsidRPr="00E83BAD">
        <w:rPr>
          <w:color w:val="212121"/>
          <w:lang w:val="pt-PT"/>
        </w:rPr>
        <w:t xml:space="preserve">, ou seja, a Taxa Interna de Retorno dos 39 projetos de larga escala. Constatou-se que nenhuma análise econômica realizada, como projeção dos cenários básicos, levou em consideração esta variável, que foi classificada como </w:t>
      </w:r>
      <w:r w:rsidRPr="00E83BAD">
        <w:rPr>
          <w:i/>
          <w:color w:val="212121"/>
          <w:lang w:val="pt-PT"/>
        </w:rPr>
        <w:t>undefined</w:t>
      </w:r>
      <w:r w:rsidRPr="00E83BAD">
        <w:rPr>
          <w:color w:val="212121"/>
          <w:lang w:val="pt-PT"/>
        </w:rPr>
        <w:t xml:space="preserve">, isto é, não definida. Isto ocorre porque não existem taxas internas de retorno negativas. A empresa poderia, </w:t>
      </w:r>
      <w:proofErr w:type="gramStart"/>
      <w:r w:rsidRPr="00E83BAD">
        <w:rPr>
          <w:color w:val="212121"/>
          <w:lang w:val="pt-PT"/>
        </w:rPr>
        <w:t>no entanto</w:t>
      </w:r>
      <w:proofErr w:type="gramEnd"/>
      <w:r w:rsidRPr="00E83BAD">
        <w:rPr>
          <w:color w:val="212121"/>
          <w:lang w:val="pt-PT"/>
        </w:rPr>
        <w:t xml:space="preserve"> utilizar e apresentar a taxa modificada (MIRR).</w:t>
      </w:r>
    </w:p>
    <w:p w14:paraId="6DCF91C5" w14:textId="77777777" w:rsidR="009A552F" w:rsidRPr="00E83BAD" w:rsidRDefault="009A552F" w:rsidP="00E83BAD">
      <w:pPr>
        <w:ind w:firstLine="709"/>
        <w:jc w:val="both"/>
        <w:rPr>
          <w:color w:val="212121"/>
          <w:lang w:val="pt-PT"/>
        </w:rPr>
      </w:pPr>
      <w:r w:rsidRPr="00E83BAD">
        <w:rPr>
          <w:color w:val="212121"/>
          <w:lang w:val="pt-PT"/>
        </w:rPr>
        <w:t xml:space="preserve">Tendo em vista que nenhum dos cenários apresentados produz receitas potenciais, inexistindo fluxos de caixa positivos, a análise econômica do projeto comparou os parâmetros do </w:t>
      </w:r>
      <w:r w:rsidRPr="00E83BAD">
        <w:rPr>
          <w:i/>
          <w:color w:val="212121"/>
          <w:lang w:val="pt-PT"/>
        </w:rPr>
        <w:t>Net Present Value</w:t>
      </w:r>
      <w:r w:rsidRPr="00E83BAD">
        <w:rPr>
          <w:color w:val="212121"/>
          <w:lang w:val="pt-PT"/>
        </w:rPr>
        <w:t xml:space="preserve"> (NPV), isto é, o Valor Presente Líquido (VPL). Isto significa que em todos os projetos de AWMS, a AgCert contou apenas com a venda dos CRE’s para financiar o investimento e custear suas despesas operacionais, desconsiderando qualquer outra receita alternativa, como o biogás produzido, a energia elétrica de sua utilização como combustível em geradores, ou as possíveis economias de fertilizante conseguidas com a utilização do composto resultante da digestão anaeróbica.</w:t>
      </w:r>
    </w:p>
    <w:p w14:paraId="4F182581" w14:textId="77777777" w:rsidR="009A552F" w:rsidRPr="00E83BAD" w:rsidRDefault="009A552F" w:rsidP="00E83BAD">
      <w:pPr>
        <w:ind w:firstLine="709"/>
        <w:jc w:val="both"/>
        <w:rPr>
          <w:color w:val="212121"/>
          <w:lang w:val="pt-PT"/>
        </w:rPr>
      </w:pPr>
      <w:r w:rsidRPr="00E83BAD">
        <w:rPr>
          <w:color w:val="212121"/>
          <w:lang w:val="pt-PT"/>
        </w:rPr>
        <w:t xml:space="preserve">Desse modo, por meio de uma simples comparação econômica de despesas, identificou-se o ‘melhor’ cenário, como o que apresenta o menor custo. Em todos os projetos analisados, observa-se que a lagoa anaeróbia é a atividade proposta, sendo o curso de ação mais economicamente atraente. O motivo é o baixo investimento em despesas de capital necessário, já que as lagoas aeróbicas já </w:t>
      </w:r>
      <w:r w:rsidRPr="00E83BAD">
        <w:rPr>
          <w:color w:val="212121"/>
          <w:lang w:val="pt-PT"/>
        </w:rPr>
        <w:lastRenderedPageBreak/>
        <w:t>existiam, porque são a linha de base (exigência mínima) da legislação em quase todos os países, sendo apenas uma questão da sua transformação em anaeróbica.</w:t>
      </w:r>
    </w:p>
    <w:p w14:paraId="6C63B847" w14:textId="771DA008" w:rsidR="009A552F" w:rsidRDefault="009A552F" w:rsidP="00E83BAD">
      <w:pPr>
        <w:ind w:firstLine="709"/>
        <w:jc w:val="both"/>
        <w:rPr>
          <w:color w:val="212121"/>
          <w:lang w:val="pt-PT"/>
        </w:rPr>
      </w:pPr>
      <w:r w:rsidRPr="00E83BAD">
        <w:rPr>
          <w:color w:val="212121"/>
          <w:lang w:val="pt-PT"/>
        </w:rPr>
        <w:t xml:space="preserve">No entanto, em uma análise pormenorizada dos valores apresentados, constatou-se que praticamente inexistem variações, dentre os projetos, nos investimentos necessários para a gestão de resíduos animais (Figura 1). Dos vinte e um projetos mexicanos de larga escala, vinte apresentam exatamente os mesmos valores e apenas em um existem mudanças não significativas. O mesmo ocorre nos dezessete projetos brasileiros, nos quais é visível uma uniformidade dos valores, inexistindo diferenças significativas. </w:t>
      </w:r>
    </w:p>
    <w:p w14:paraId="469157FB" w14:textId="77777777" w:rsidR="008B4318" w:rsidRPr="00E83BAD" w:rsidRDefault="008B4318" w:rsidP="00E83BAD">
      <w:pPr>
        <w:ind w:firstLine="709"/>
        <w:jc w:val="both"/>
        <w:rPr>
          <w:color w:val="212121"/>
          <w:lang w:val="pt-PT"/>
        </w:rPr>
      </w:pPr>
    </w:p>
    <w:p w14:paraId="48A163A5" w14:textId="79637855" w:rsidR="009A552F" w:rsidRPr="00E83BAD" w:rsidRDefault="009A552F" w:rsidP="0079285B">
      <w:pPr>
        <w:jc w:val="both"/>
        <w:rPr>
          <w:b/>
          <w:color w:val="212121"/>
          <w:lang w:val="pt-PT"/>
        </w:rPr>
      </w:pPr>
      <w:r w:rsidRPr="00E83BAD">
        <w:rPr>
          <w:b/>
          <w:color w:val="212121"/>
          <w:lang w:val="pt-PT"/>
        </w:rPr>
        <w:t xml:space="preserve">Figura 1: Recorte de 2 projetos brasileiros e 2 mexicanos (em USD), </w:t>
      </w:r>
      <w:proofErr w:type="spellStart"/>
      <w:r w:rsidRPr="00E83BAD">
        <w:rPr>
          <w:b/>
          <w:color w:val="212121"/>
          <w:lang w:val="pt-PT"/>
        </w:rPr>
        <w:t>respectivamente</w:t>
      </w:r>
      <w:proofErr w:type="spellEnd"/>
    </w:p>
    <w:p w14:paraId="7278817D" w14:textId="77777777" w:rsidR="009A552F" w:rsidRPr="00E83BAD" w:rsidRDefault="009A552F" w:rsidP="00E83BAD">
      <w:pPr>
        <w:spacing w:after="120"/>
        <w:jc w:val="both"/>
        <w:rPr>
          <w:color w:val="212121"/>
          <w:lang w:val="pt-PT"/>
        </w:rPr>
      </w:pPr>
      <w:r w:rsidRPr="00E83BAD">
        <w:rPr>
          <w:noProof/>
          <w:color w:val="212121"/>
          <w:lang w:eastAsia="pt-BR"/>
        </w:rPr>
        <w:drawing>
          <wp:inline distT="0" distB="0" distL="0" distR="0" wp14:anchorId="380E9D6B" wp14:editId="23B9D0AA">
            <wp:extent cx="5800725" cy="685800"/>
            <wp:effectExtent l="0" t="0" r="9525" b="0"/>
            <wp:docPr id="5" name="Imagem 5" descr="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685800"/>
                    </a:xfrm>
                    <a:prstGeom prst="rect">
                      <a:avLst/>
                    </a:prstGeom>
                    <a:noFill/>
                    <a:ln>
                      <a:noFill/>
                    </a:ln>
                  </pic:spPr>
                </pic:pic>
              </a:graphicData>
            </a:graphic>
          </wp:inline>
        </w:drawing>
      </w:r>
    </w:p>
    <w:p w14:paraId="140C7C5E" w14:textId="77777777" w:rsidR="009A552F" w:rsidRPr="00E83BAD" w:rsidRDefault="009A552F" w:rsidP="00E83BAD">
      <w:pPr>
        <w:spacing w:after="120"/>
        <w:jc w:val="both"/>
        <w:rPr>
          <w:color w:val="212121"/>
          <w:lang w:val="pt-PT"/>
        </w:rPr>
      </w:pPr>
      <w:r w:rsidRPr="00E83BAD">
        <w:rPr>
          <w:noProof/>
          <w:color w:val="212121"/>
          <w:lang w:eastAsia="pt-BR"/>
        </w:rPr>
        <w:drawing>
          <wp:inline distT="0" distB="0" distL="0" distR="0" wp14:anchorId="2A86C57A" wp14:editId="0F52AA3F">
            <wp:extent cx="5848350" cy="685800"/>
            <wp:effectExtent l="0" t="0" r="0" b="0"/>
            <wp:docPr id="4" name="Imagem 4" descr="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685800"/>
                    </a:xfrm>
                    <a:prstGeom prst="rect">
                      <a:avLst/>
                    </a:prstGeom>
                    <a:noFill/>
                    <a:ln>
                      <a:noFill/>
                    </a:ln>
                  </pic:spPr>
                </pic:pic>
              </a:graphicData>
            </a:graphic>
          </wp:inline>
        </w:drawing>
      </w:r>
    </w:p>
    <w:p w14:paraId="3E0BE19D" w14:textId="77777777" w:rsidR="009A552F" w:rsidRPr="00E83BAD" w:rsidRDefault="009A552F" w:rsidP="00E83BAD">
      <w:pPr>
        <w:spacing w:after="120"/>
        <w:jc w:val="both"/>
        <w:rPr>
          <w:color w:val="212121"/>
          <w:lang w:val="pt-PT"/>
        </w:rPr>
      </w:pPr>
      <w:r w:rsidRPr="00E83BAD">
        <w:rPr>
          <w:noProof/>
          <w:color w:val="212121"/>
          <w:lang w:eastAsia="pt-BR"/>
        </w:rPr>
        <w:drawing>
          <wp:inline distT="0" distB="0" distL="0" distR="0" wp14:anchorId="7159ECF4" wp14:editId="21E44414">
            <wp:extent cx="5838825" cy="647700"/>
            <wp:effectExtent l="0" t="0" r="9525" b="0"/>
            <wp:docPr id="3" name="Imagem 3"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a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647700"/>
                    </a:xfrm>
                    <a:prstGeom prst="rect">
                      <a:avLst/>
                    </a:prstGeom>
                    <a:noFill/>
                    <a:ln>
                      <a:noFill/>
                    </a:ln>
                  </pic:spPr>
                </pic:pic>
              </a:graphicData>
            </a:graphic>
          </wp:inline>
        </w:drawing>
      </w:r>
    </w:p>
    <w:p w14:paraId="68DB181A" w14:textId="77777777" w:rsidR="009A552F" w:rsidRPr="00E83BAD" w:rsidRDefault="009A552F" w:rsidP="00E83BAD">
      <w:pPr>
        <w:spacing w:after="120"/>
        <w:jc w:val="both"/>
        <w:rPr>
          <w:color w:val="212121"/>
          <w:lang w:val="pt-PT"/>
        </w:rPr>
      </w:pPr>
      <w:r w:rsidRPr="00E83BAD">
        <w:rPr>
          <w:noProof/>
          <w:color w:val="212121"/>
          <w:lang w:eastAsia="pt-BR"/>
        </w:rPr>
        <w:drawing>
          <wp:inline distT="0" distB="0" distL="0" distR="0" wp14:anchorId="4D147B6C" wp14:editId="25CFB501">
            <wp:extent cx="5838825" cy="647700"/>
            <wp:effectExtent l="0" t="0" r="9525" b="0"/>
            <wp:docPr id="2" name="Imagem 2"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a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647700"/>
                    </a:xfrm>
                    <a:prstGeom prst="rect">
                      <a:avLst/>
                    </a:prstGeom>
                    <a:noFill/>
                    <a:ln>
                      <a:noFill/>
                    </a:ln>
                  </pic:spPr>
                </pic:pic>
              </a:graphicData>
            </a:graphic>
          </wp:inline>
        </w:drawing>
      </w:r>
    </w:p>
    <w:p w14:paraId="38389601" w14:textId="0A383C6F" w:rsidR="009A552F" w:rsidRDefault="009A552F" w:rsidP="00E83BAD">
      <w:pPr>
        <w:spacing w:after="120"/>
        <w:ind w:firstLine="567"/>
        <w:jc w:val="both"/>
        <w:rPr>
          <w:color w:val="212121"/>
          <w:lang w:val="pt-PT"/>
        </w:rPr>
      </w:pPr>
      <w:r w:rsidRPr="00E83BAD">
        <w:rPr>
          <w:color w:val="212121"/>
          <w:lang w:val="pt-PT"/>
        </w:rPr>
        <w:t>Fonte: UNFCCC</w:t>
      </w:r>
      <w:r w:rsidRPr="00E83BAD">
        <w:rPr>
          <w:color w:val="212121"/>
          <w:lang w:val="pt-PT"/>
        </w:rPr>
        <w:fldChar w:fldCharType="begin" w:fldLock="1"/>
      </w:r>
      <w:r w:rsidRPr="00E83BAD">
        <w:rPr>
          <w:color w:val="212121"/>
          <w:lang w:val="pt-PT"/>
        </w:rPr>
        <w:instrText>ADDIN CSL_CITATION { "citationItems" : [ { "id" : "ITEM-1", "itemData" : { "author" : [ { "dropping-particle" : "", "family" : "UNFCCC", "given" : "", "non-dropping-particle" : "", "parse-names" : false, "suffix" : "" } ], "id" : "ITEM-1", "issued" : { "date-parts" : [ [ "2015" ] ] }, "title" : "CDM Project Search", "type" : "webpage" }, "uris" : [ "http://www.mendeley.com/documents/?uuid=c6b14b8e-b5ff-46c5-a868-450f54ac4622", "http://www.mendeley.com/documents/?uuid=b5fb295c-fff4-44fd-aa5f-78b9788f6fae" ] } ], "mendeley" : { "formattedCitation" : "(UNFCCC, 2015b)", "plainTextFormattedCitation" : "(UNFCCC, 2015b)", "previouslyFormattedCitation" : "(2015c)" }, "properties" : {  }, "schema" : "https://github.com/citation-style-language/schema/raw/master/csl-citation.json" }</w:instrText>
      </w:r>
      <w:r w:rsidRPr="00E83BAD">
        <w:rPr>
          <w:color w:val="212121"/>
          <w:lang w:val="pt-PT"/>
        </w:rPr>
        <w:fldChar w:fldCharType="separate"/>
      </w:r>
      <w:r w:rsidRPr="00E83BAD">
        <w:rPr>
          <w:noProof/>
          <w:color w:val="212121"/>
          <w:lang w:val="pt-PT"/>
        </w:rPr>
        <w:t>(UNFCCC, 2015b)</w:t>
      </w:r>
      <w:r w:rsidRPr="00E83BAD">
        <w:rPr>
          <w:color w:val="212121"/>
          <w:lang w:val="pt-PT"/>
        </w:rPr>
        <w:fldChar w:fldCharType="end"/>
      </w:r>
    </w:p>
    <w:p w14:paraId="2A731BF5" w14:textId="77777777" w:rsidR="0079285B" w:rsidRPr="00E83BAD" w:rsidRDefault="0079285B" w:rsidP="00E83BAD">
      <w:pPr>
        <w:spacing w:after="120"/>
        <w:ind w:firstLine="567"/>
        <w:jc w:val="both"/>
        <w:rPr>
          <w:color w:val="212121"/>
          <w:lang w:val="pt-PT"/>
        </w:rPr>
      </w:pPr>
    </w:p>
    <w:p w14:paraId="3377B15D" w14:textId="77777777" w:rsidR="009A552F" w:rsidRPr="00E83BAD" w:rsidRDefault="009A552F" w:rsidP="00E83BAD">
      <w:pPr>
        <w:pStyle w:val="ListParagraph"/>
        <w:numPr>
          <w:ilvl w:val="2"/>
          <w:numId w:val="2"/>
        </w:numPr>
        <w:spacing w:after="0" w:line="240" w:lineRule="auto"/>
        <w:ind w:left="0" w:firstLine="709"/>
        <w:rPr>
          <w:b/>
          <w:color w:val="212121"/>
          <w:szCs w:val="24"/>
          <w:lang w:val="pt-PT"/>
        </w:rPr>
      </w:pPr>
      <w:r w:rsidRPr="00E83BAD">
        <w:rPr>
          <w:b/>
          <w:color w:val="212121"/>
          <w:szCs w:val="24"/>
          <w:lang w:val="pt-PT"/>
        </w:rPr>
        <w:t xml:space="preserve">Taxas de Desconto </w:t>
      </w:r>
    </w:p>
    <w:p w14:paraId="11DC0B3D" w14:textId="77777777" w:rsidR="009A552F" w:rsidRPr="00E83BAD" w:rsidRDefault="009A552F" w:rsidP="00E83BAD">
      <w:pPr>
        <w:ind w:firstLine="709"/>
        <w:jc w:val="both"/>
        <w:rPr>
          <w:color w:val="212121"/>
          <w:lang w:val="pt-PT"/>
        </w:rPr>
      </w:pPr>
      <w:r w:rsidRPr="00E83BAD">
        <w:rPr>
          <w:color w:val="212121"/>
          <w:lang w:val="pt-PT"/>
        </w:rPr>
        <w:t>Para realizar a comparação econômica entre cenários básicos plausíveis para os projetos propostos, foram apresentados dados retirados dos projetos. Segundo a AgCert os dados foram revisados por um economista de indústria suína.</w:t>
      </w:r>
      <w:r w:rsidRPr="00E83BAD" w:rsidDel="00720872">
        <w:rPr>
          <w:color w:val="212121"/>
          <w:lang w:val="pt-PT"/>
        </w:rPr>
        <w:t xml:space="preserve"> </w:t>
      </w:r>
      <w:r w:rsidRPr="00E83BAD">
        <w:rPr>
          <w:color w:val="212121"/>
          <w:lang w:val="pt-PT"/>
        </w:rPr>
        <w:t xml:space="preserve">No entanto, a opinião é completamente desconsiderada, já que em todos os projetos a taxa de desconto é de 10%. </w:t>
      </w:r>
    </w:p>
    <w:p w14:paraId="41A7DD74" w14:textId="77777777" w:rsidR="009A552F" w:rsidRPr="00E83BAD" w:rsidRDefault="009A552F" w:rsidP="00E83BAD">
      <w:pPr>
        <w:ind w:firstLine="709"/>
        <w:jc w:val="both"/>
        <w:rPr>
          <w:color w:val="212121"/>
          <w:lang w:val="pt-PT"/>
        </w:rPr>
      </w:pPr>
      <w:r w:rsidRPr="00E83BAD">
        <w:rPr>
          <w:color w:val="212121"/>
          <w:lang w:val="pt-PT"/>
        </w:rPr>
        <w:t>De acordo com informações constantes no corpo do documento, esta é uma taxa tipicamente usada em uma nação em desenvolvimento e é "extremamente conservadora", se comparada a taxa calculada de 17,46% e 25,42%, conforme Tabela 2.</w:t>
      </w:r>
    </w:p>
    <w:p w14:paraId="5FE7911E" w14:textId="77777777" w:rsidR="00ED747A" w:rsidRPr="00E83BAD" w:rsidRDefault="00ED747A" w:rsidP="00E83BAD">
      <w:pPr>
        <w:ind w:firstLine="709"/>
        <w:jc w:val="both"/>
        <w:rPr>
          <w:color w:val="212121"/>
          <w:lang w:val="pt-PT"/>
        </w:rPr>
      </w:pPr>
    </w:p>
    <w:p w14:paraId="0AC2AD5B" w14:textId="77777777" w:rsidR="009A552F" w:rsidRPr="00E83BAD" w:rsidRDefault="009A552F" w:rsidP="0079285B">
      <w:pPr>
        <w:rPr>
          <w:b/>
          <w:color w:val="212121"/>
          <w:lang w:val="pt-PT"/>
        </w:rPr>
      </w:pPr>
      <w:r w:rsidRPr="00E83BAD">
        <w:rPr>
          <w:b/>
          <w:color w:val="212121"/>
          <w:lang w:val="pt-PT"/>
        </w:rPr>
        <w:t>Tabela 2 – Indicadores Econômico-Financeiros</w:t>
      </w:r>
    </w:p>
    <w:tbl>
      <w:tblPr>
        <w:tblW w:w="855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472"/>
        <w:gridCol w:w="1542"/>
        <w:gridCol w:w="1542"/>
      </w:tblGrid>
      <w:tr w:rsidR="009A552F" w:rsidRPr="00E83BAD" w14:paraId="60FB98F1" w14:textId="77777777" w:rsidTr="0079285B">
        <w:tc>
          <w:tcPr>
            <w:tcW w:w="5472" w:type="dxa"/>
            <w:shd w:val="clear" w:color="auto" w:fill="auto"/>
          </w:tcPr>
          <w:p w14:paraId="6981268A" w14:textId="77777777" w:rsidR="009A552F" w:rsidRPr="00E83BAD" w:rsidRDefault="009A552F" w:rsidP="00E83BAD">
            <w:pPr>
              <w:autoSpaceDE w:val="0"/>
              <w:autoSpaceDN w:val="0"/>
              <w:adjustRightInd w:val="0"/>
              <w:jc w:val="both"/>
              <w:rPr>
                <w:i/>
              </w:rPr>
            </w:pPr>
            <w:r w:rsidRPr="00E83BAD">
              <w:rPr>
                <w:i/>
              </w:rPr>
              <w:t>Indicador</w:t>
            </w:r>
          </w:p>
        </w:tc>
        <w:tc>
          <w:tcPr>
            <w:tcW w:w="1542" w:type="dxa"/>
            <w:shd w:val="clear" w:color="auto" w:fill="auto"/>
          </w:tcPr>
          <w:p w14:paraId="1AB07BF7" w14:textId="77777777" w:rsidR="009A552F" w:rsidRPr="00E83BAD" w:rsidRDefault="009A552F" w:rsidP="00E83BAD">
            <w:pPr>
              <w:autoSpaceDE w:val="0"/>
              <w:autoSpaceDN w:val="0"/>
              <w:adjustRightInd w:val="0"/>
              <w:jc w:val="both"/>
              <w:rPr>
                <w:i/>
              </w:rPr>
            </w:pPr>
            <w:r w:rsidRPr="00E83BAD">
              <w:rPr>
                <w:i/>
              </w:rPr>
              <w:t>México</w:t>
            </w:r>
          </w:p>
        </w:tc>
        <w:tc>
          <w:tcPr>
            <w:tcW w:w="1542" w:type="dxa"/>
            <w:shd w:val="clear" w:color="auto" w:fill="auto"/>
          </w:tcPr>
          <w:p w14:paraId="7F90618F" w14:textId="77777777" w:rsidR="009A552F" w:rsidRPr="00E83BAD" w:rsidRDefault="009A552F" w:rsidP="00E83BAD">
            <w:pPr>
              <w:autoSpaceDE w:val="0"/>
              <w:autoSpaceDN w:val="0"/>
              <w:adjustRightInd w:val="0"/>
              <w:jc w:val="both"/>
              <w:rPr>
                <w:i/>
              </w:rPr>
            </w:pPr>
            <w:r w:rsidRPr="00E83BAD">
              <w:rPr>
                <w:i/>
              </w:rPr>
              <w:t>Brasil</w:t>
            </w:r>
          </w:p>
        </w:tc>
      </w:tr>
      <w:tr w:rsidR="009A552F" w:rsidRPr="00E83BAD" w14:paraId="655B4BDF" w14:textId="77777777" w:rsidTr="0079285B">
        <w:tc>
          <w:tcPr>
            <w:tcW w:w="5472" w:type="dxa"/>
            <w:shd w:val="clear" w:color="auto" w:fill="auto"/>
          </w:tcPr>
          <w:p w14:paraId="2F274844" w14:textId="77777777" w:rsidR="009A552F" w:rsidRPr="00E83BAD" w:rsidRDefault="009A552F" w:rsidP="00E83BAD">
            <w:pPr>
              <w:autoSpaceDE w:val="0"/>
              <w:autoSpaceDN w:val="0"/>
              <w:adjustRightInd w:val="0"/>
              <w:jc w:val="both"/>
              <w:rPr>
                <w:i/>
              </w:rPr>
            </w:pPr>
            <w:proofErr w:type="spellStart"/>
            <w:r w:rsidRPr="00E83BAD">
              <w:rPr>
                <w:i/>
              </w:rPr>
              <w:t>Cost</w:t>
            </w:r>
            <w:proofErr w:type="spellEnd"/>
            <w:r w:rsidRPr="00E83BAD">
              <w:rPr>
                <w:i/>
              </w:rPr>
              <w:t xml:space="preserve"> </w:t>
            </w:r>
            <w:proofErr w:type="spellStart"/>
            <w:r w:rsidRPr="00E83BAD">
              <w:rPr>
                <w:i/>
              </w:rPr>
              <w:t>of</w:t>
            </w:r>
            <w:proofErr w:type="spellEnd"/>
            <w:r w:rsidRPr="00E83BAD">
              <w:rPr>
                <w:i/>
              </w:rPr>
              <w:t xml:space="preserve"> </w:t>
            </w:r>
            <w:proofErr w:type="spellStart"/>
            <w:r w:rsidRPr="00E83BAD">
              <w:rPr>
                <w:i/>
              </w:rPr>
              <w:t>Equity</w:t>
            </w:r>
            <w:proofErr w:type="spellEnd"/>
            <w:r w:rsidRPr="00E83BAD">
              <w:rPr>
                <w:i/>
              </w:rPr>
              <w:t xml:space="preserve"> Capital</w:t>
            </w:r>
          </w:p>
        </w:tc>
        <w:tc>
          <w:tcPr>
            <w:tcW w:w="1542" w:type="dxa"/>
            <w:shd w:val="clear" w:color="auto" w:fill="auto"/>
          </w:tcPr>
          <w:p w14:paraId="110C3611" w14:textId="77777777" w:rsidR="009A552F" w:rsidRPr="00E83BAD" w:rsidRDefault="009A552F" w:rsidP="00E83BAD">
            <w:pPr>
              <w:autoSpaceDE w:val="0"/>
              <w:autoSpaceDN w:val="0"/>
              <w:adjustRightInd w:val="0"/>
              <w:jc w:val="both"/>
              <w:rPr>
                <w:i/>
              </w:rPr>
            </w:pPr>
            <w:r w:rsidRPr="00E83BAD">
              <w:rPr>
                <w:i/>
              </w:rPr>
              <w:t>20.53%</w:t>
            </w:r>
          </w:p>
        </w:tc>
        <w:tc>
          <w:tcPr>
            <w:tcW w:w="1542" w:type="dxa"/>
            <w:shd w:val="clear" w:color="auto" w:fill="auto"/>
          </w:tcPr>
          <w:p w14:paraId="1C82EA18" w14:textId="77777777" w:rsidR="009A552F" w:rsidRPr="00E83BAD" w:rsidRDefault="009A552F" w:rsidP="00E83BAD">
            <w:pPr>
              <w:autoSpaceDE w:val="0"/>
              <w:autoSpaceDN w:val="0"/>
              <w:adjustRightInd w:val="0"/>
              <w:jc w:val="both"/>
              <w:rPr>
                <w:i/>
              </w:rPr>
            </w:pPr>
            <w:r w:rsidRPr="00E83BAD">
              <w:rPr>
                <w:i/>
              </w:rPr>
              <w:t>25.45%</w:t>
            </w:r>
          </w:p>
        </w:tc>
      </w:tr>
      <w:tr w:rsidR="009A552F" w:rsidRPr="00E83BAD" w14:paraId="5E20EED2" w14:textId="77777777" w:rsidTr="0079285B">
        <w:tc>
          <w:tcPr>
            <w:tcW w:w="5472" w:type="dxa"/>
            <w:shd w:val="clear" w:color="auto" w:fill="auto"/>
          </w:tcPr>
          <w:p w14:paraId="7A7A89D7" w14:textId="77777777" w:rsidR="009A552F" w:rsidRPr="00E83BAD" w:rsidRDefault="009A552F" w:rsidP="00E83BAD">
            <w:pPr>
              <w:autoSpaceDE w:val="0"/>
              <w:autoSpaceDN w:val="0"/>
              <w:adjustRightInd w:val="0"/>
              <w:jc w:val="both"/>
              <w:rPr>
                <w:i/>
              </w:rPr>
            </w:pPr>
            <w:proofErr w:type="spellStart"/>
            <w:r w:rsidRPr="00E83BAD">
              <w:rPr>
                <w:i/>
              </w:rPr>
              <w:t>Industry</w:t>
            </w:r>
            <w:proofErr w:type="spellEnd"/>
            <w:r w:rsidRPr="00E83BAD">
              <w:rPr>
                <w:i/>
              </w:rPr>
              <w:t xml:space="preserve"> beta </w:t>
            </w:r>
            <w:proofErr w:type="spellStart"/>
            <w:r w:rsidRPr="00E83BAD">
              <w:rPr>
                <w:i/>
              </w:rPr>
              <w:t>adjustment</w:t>
            </w:r>
            <w:proofErr w:type="spellEnd"/>
          </w:p>
        </w:tc>
        <w:tc>
          <w:tcPr>
            <w:tcW w:w="1542" w:type="dxa"/>
            <w:shd w:val="clear" w:color="auto" w:fill="auto"/>
          </w:tcPr>
          <w:p w14:paraId="4A070985" w14:textId="77777777" w:rsidR="009A552F" w:rsidRPr="00E83BAD" w:rsidRDefault="009A552F" w:rsidP="00E83BAD">
            <w:pPr>
              <w:autoSpaceDE w:val="0"/>
              <w:autoSpaceDN w:val="0"/>
              <w:adjustRightInd w:val="0"/>
              <w:jc w:val="both"/>
              <w:rPr>
                <w:i/>
              </w:rPr>
            </w:pPr>
            <w:r w:rsidRPr="00E83BAD">
              <w:rPr>
                <w:i/>
              </w:rPr>
              <w:t>0.41%</w:t>
            </w:r>
          </w:p>
        </w:tc>
        <w:tc>
          <w:tcPr>
            <w:tcW w:w="1542" w:type="dxa"/>
            <w:shd w:val="clear" w:color="auto" w:fill="auto"/>
          </w:tcPr>
          <w:p w14:paraId="0B051C72" w14:textId="77777777" w:rsidR="009A552F" w:rsidRPr="00E83BAD" w:rsidRDefault="009A552F" w:rsidP="00E83BAD">
            <w:pPr>
              <w:autoSpaceDE w:val="0"/>
              <w:autoSpaceDN w:val="0"/>
              <w:adjustRightInd w:val="0"/>
              <w:jc w:val="both"/>
              <w:rPr>
                <w:i/>
              </w:rPr>
            </w:pPr>
            <w:r w:rsidRPr="00E83BAD">
              <w:rPr>
                <w:i/>
              </w:rPr>
              <w:t>0.25%</w:t>
            </w:r>
          </w:p>
        </w:tc>
      </w:tr>
      <w:tr w:rsidR="009A552F" w:rsidRPr="00E83BAD" w14:paraId="115FD3F4" w14:textId="77777777" w:rsidTr="0079285B">
        <w:tc>
          <w:tcPr>
            <w:tcW w:w="5472" w:type="dxa"/>
            <w:shd w:val="clear" w:color="auto" w:fill="auto"/>
          </w:tcPr>
          <w:p w14:paraId="3076CAFA" w14:textId="77777777" w:rsidR="009A552F" w:rsidRPr="00E83BAD" w:rsidRDefault="009A552F" w:rsidP="00E83BAD">
            <w:pPr>
              <w:autoSpaceDE w:val="0"/>
              <w:autoSpaceDN w:val="0"/>
              <w:adjustRightInd w:val="0"/>
              <w:jc w:val="both"/>
              <w:rPr>
                <w:b/>
                <w:i/>
                <w:iCs/>
              </w:rPr>
            </w:pPr>
            <w:proofErr w:type="spellStart"/>
            <w:r w:rsidRPr="00E83BAD">
              <w:rPr>
                <w:b/>
                <w:i/>
                <w:iCs/>
              </w:rPr>
              <w:t>Operational</w:t>
            </w:r>
            <w:proofErr w:type="spellEnd"/>
            <w:r w:rsidRPr="00E83BAD">
              <w:rPr>
                <w:b/>
                <w:i/>
                <w:iCs/>
              </w:rPr>
              <w:t xml:space="preserve"> - </w:t>
            </w:r>
            <w:proofErr w:type="spellStart"/>
            <w:r w:rsidRPr="00E83BAD">
              <w:rPr>
                <w:b/>
                <w:i/>
                <w:iCs/>
              </w:rPr>
              <w:t>Sovereign</w:t>
            </w:r>
            <w:proofErr w:type="spellEnd"/>
            <w:r w:rsidRPr="00E83BAD">
              <w:rPr>
                <w:b/>
                <w:i/>
                <w:iCs/>
              </w:rPr>
              <w:t xml:space="preserve"> </w:t>
            </w:r>
            <w:proofErr w:type="spellStart"/>
            <w:r w:rsidRPr="00E83BAD">
              <w:rPr>
                <w:b/>
                <w:i/>
                <w:iCs/>
              </w:rPr>
              <w:t>Risks</w:t>
            </w:r>
            <w:proofErr w:type="spellEnd"/>
          </w:p>
        </w:tc>
        <w:tc>
          <w:tcPr>
            <w:tcW w:w="1542" w:type="dxa"/>
            <w:shd w:val="clear" w:color="auto" w:fill="auto"/>
          </w:tcPr>
          <w:p w14:paraId="5855A6BF" w14:textId="77777777" w:rsidR="009A552F" w:rsidRPr="00E83BAD" w:rsidRDefault="009A552F" w:rsidP="00E83BAD">
            <w:pPr>
              <w:autoSpaceDE w:val="0"/>
              <w:autoSpaceDN w:val="0"/>
              <w:adjustRightInd w:val="0"/>
              <w:jc w:val="both"/>
              <w:rPr>
                <w:i/>
                <w:iCs/>
              </w:rPr>
            </w:pPr>
          </w:p>
        </w:tc>
        <w:tc>
          <w:tcPr>
            <w:tcW w:w="1542" w:type="dxa"/>
            <w:shd w:val="clear" w:color="auto" w:fill="auto"/>
          </w:tcPr>
          <w:p w14:paraId="68EAC3A1" w14:textId="77777777" w:rsidR="009A552F" w:rsidRPr="00E83BAD" w:rsidRDefault="009A552F" w:rsidP="00E83BAD">
            <w:pPr>
              <w:autoSpaceDE w:val="0"/>
              <w:autoSpaceDN w:val="0"/>
              <w:adjustRightInd w:val="0"/>
              <w:jc w:val="both"/>
              <w:rPr>
                <w:i/>
                <w:iCs/>
              </w:rPr>
            </w:pPr>
          </w:p>
        </w:tc>
      </w:tr>
      <w:tr w:rsidR="009A552F" w:rsidRPr="00E83BAD" w14:paraId="79447230" w14:textId="77777777" w:rsidTr="0079285B">
        <w:tc>
          <w:tcPr>
            <w:tcW w:w="5472" w:type="dxa"/>
            <w:shd w:val="clear" w:color="auto" w:fill="auto"/>
          </w:tcPr>
          <w:p w14:paraId="2452F0AA" w14:textId="77777777" w:rsidR="009A552F" w:rsidRPr="00E83BAD" w:rsidRDefault="009A552F" w:rsidP="00E83BAD">
            <w:pPr>
              <w:tabs>
                <w:tab w:val="left" w:pos="2700"/>
              </w:tabs>
              <w:autoSpaceDE w:val="0"/>
              <w:autoSpaceDN w:val="0"/>
              <w:adjustRightInd w:val="0"/>
              <w:jc w:val="both"/>
              <w:rPr>
                <w:i/>
              </w:rPr>
            </w:pPr>
            <w:proofErr w:type="spellStart"/>
            <w:r w:rsidRPr="00E83BAD">
              <w:rPr>
                <w:i/>
              </w:rPr>
              <w:t>Macroeconomics</w:t>
            </w:r>
            <w:proofErr w:type="spellEnd"/>
          </w:p>
        </w:tc>
        <w:tc>
          <w:tcPr>
            <w:tcW w:w="1542" w:type="dxa"/>
            <w:shd w:val="clear" w:color="auto" w:fill="auto"/>
          </w:tcPr>
          <w:p w14:paraId="1CE76601" w14:textId="77777777" w:rsidR="009A552F" w:rsidRPr="00E83BAD" w:rsidRDefault="009A552F" w:rsidP="00E83BAD">
            <w:pPr>
              <w:autoSpaceDE w:val="0"/>
              <w:autoSpaceDN w:val="0"/>
              <w:adjustRightInd w:val="0"/>
              <w:jc w:val="both"/>
              <w:rPr>
                <w:i/>
              </w:rPr>
            </w:pPr>
            <w:r w:rsidRPr="00E83BAD">
              <w:rPr>
                <w:i/>
              </w:rPr>
              <w:t>2.78%</w:t>
            </w:r>
          </w:p>
        </w:tc>
        <w:tc>
          <w:tcPr>
            <w:tcW w:w="1542" w:type="dxa"/>
            <w:shd w:val="clear" w:color="auto" w:fill="auto"/>
          </w:tcPr>
          <w:p w14:paraId="7440E956" w14:textId="77777777" w:rsidR="009A552F" w:rsidRPr="00E83BAD" w:rsidRDefault="009A552F" w:rsidP="00E83BAD">
            <w:pPr>
              <w:autoSpaceDE w:val="0"/>
              <w:autoSpaceDN w:val="0"/>
              <w:adjustRightInd w:val="0"/>
              <w:jc w:val="both"/>
              <w:rPr>
                <w:i/>
              </w:rPr>
            </w:pPr>
            <w:r w:rsidRPr="00E83BAD">
              <w:rPr>
                <w:i/>
              </w:rPr>
              <w:t>0.00%</w:t>
            </w:r>
          </w:p>
        </w:tc>
      </w:tr>
      <w:tr w:rsidR="009A552F" w:rsidRPr="00E83BAD" w14:paraId="6FB2BF78" w14:textId="77777777" w:rsidTr="0079285B">
        <w:tc>
          <w:tcPr>
            <w:tcW w:w="5472" w:type="dxa"/>
            <w:shd w:val="clear" w:color="auto" w:fill="auto"/>
          </w:tcPr>
          <w:p w14:paraId="51DD95A5" w14:textId="77777777" w:rsidR="009A552F" w:rsidRPr="00E83BAD" w:rsidRDefault="009A552F" w:rsidP="00E83BAD">
            <w:pPr>
              <w:autoSpaceDE w:val="0"/>
              <w:autoSpaceDN w:val="0"/>
              <w:adjustRightInd w:val="0"/>
              <w:jc w:val="both"/>
              <w:rPr>
                <w:i/>
              </w:rPr>
            </w:pPr>
            <w:proofErr w:type="spellStart"/>
            <w:r w:rsidRPr="00E83BAD">
              <w:rPr>
                <w:i/>
              </w:rPr>
              <w:t>Political</w:t>
            </w:r>
            <w:proofErr w:type="spellEnd"/>
            <w:r w:rsidRPr="00E83BAD">
              <w:rPr>
                <w:i/>
              </w:rPr>
              <w:t>/Legal</w:t>
            </w:r>
          </w:p>
        </w:tc>
        <w:tc>
          <w:tcPr>
            <w:tcW w:w="1542" w:type="dxa"/>
            <w:shd w:val="clear" w:color="auto" w:fill="auto"/>
          </w:tcPr>
          <w:p w14:paraId="3CC2BEAC" w14:textId="77777777" w:rsidR="009A552F" w:rsidRPr="00E83BAD" w:rsidRDefault="009A552F" w:rsidP="00E83BAD">
            <w:pPr>
              <w:autoSpaceDE w:val="0"/>
              <w:autoSpaceDN w:val="0"/>
              <w:adjustRightInd w:val="0"/>
              <w:jc w:val="both"/>
              <w:rPr>
                <w:i/>
              </w:rPr>
            </w:pPr>
            <w:r w:rsidRPr="00E83BAD">
              <w:rPr>
                <w:i/>
              </w:rPr>
              <w:t>0.00%</w:t>
            </w:r>
          </w:p>
        </w:tc>
        <w:tc>
          <w:tcPr>
            <w:tcW w:w="1542" w:type="dxa"/>
            <w:shd w:val="clear" w:color="auto" w:fill="auto"/>
          </w:tcPr>
          <w:p w14:paraId="16199D43" w14:textId="77777777" w:rsidR="009A552F" w:rsidRPr="00E83BAD" w:rsidRDefault="009A552F" w:rsidP="00E83BAD">
            <w:pPr>
              <w:autoSpaceDE w:val="0"/>
              <w:autoSpaceDN w:val="0"/>
              <w:adjustRightInd w:val="0"/>
              <w:jc w:val="both"/>
              <w:rPr>
                <w:i/>
              </w:rPr>
            </w:pPr>
            <w:r w:rsidRPr="00E83BAD">
              <w:rPr>
                <w:i/>
              </w:rPr>
              <w:t>0.42%</w:t>
            </w:r>
          </w:p>
        </w:tc>
      </w:tr>
      <w:tr w:rsidR="009A552F" w:rsidRPr="00E83BAD" w14:paraId="1054442B" w14:textId="77777777" w:rsidTr="0079285B">
        <w:tc>
          <w:tcPr>
            <w:tcW w:w="5472" w:type="dxa"/>
            <w:shd w:val="clear" w:color="auto" w:fill="auto"/>
          </w:tcPr>
          <w:p w14:paraId="37685E46" w14:textId="77777777" w:rsidR="009A552F" w:rsidRPr="00E83BAD" w:rsidRDefault="009A552F" w:rsidP="00E83BAD">
            <w:pPr>
              <w:autoSpaceDE w:val="0"/>
              <w:autoSpaceDN w:val="0"/>
              <w:adjustRightInd w:val="0"/>
              <w:jc w:val="both"/>
              <w:rPr>
                <w:i/>
              </w:rPr>
            </w:pPr>
            <w:r w:rsidRPr="00E83BAD">
              <w:rPr>
                <w:i/>
              </w:rPr>
              <w:t xml:space="preserve">Force </w:t>
            </w:r>
            <w:proofErr w:type="spellStart"/>
            <w:r w:rsidRPr="00E83BAD">
              <w:rPr>
                <w:i/>
              </w:rPr>
              <w:t>Majeure</w:t>
            </w:r>
            <w:proofErr w:type="spellEnd"/>
          </w:p>
        </w:tc>
        <w:tc>
          <w:tcPr>
            <w:tcW w:w="1542" w:type="dxa"/>
            <w:shd w:val="clear" w:color="auto" w:fill="auto"/>
          </w:tcPr>
          <w:p w14:paraId="39F56AB0" w14:textId="77777777" w:rsidR="009A552F" w:rsidRPr="00E83BAD" w:rsidRDefault="009A552F" w:rsidP="00E83BAD">
            <w:pPr>
              <w:autoSpaceDE w:val="0"/>
              <w:autoSpaceDN w:val="0"/>
              <w:adjustRightInd w:val="0"/>
              <w:jc w:val="both"/>
              <w:rPr>
                <w:i/>
              </w:rPr>
            </w:pPr>
            <w:r w:rsidRPr="00E83BAD">
              <w:rPr>
                <w:i/>
              </w:rPr>
              <w:t>0.00%</w:t>
            </w:r>
          </w:p>
        </w:tc>
        <w:tc>
          <w:tcPr>
            <w:tcW w:w="1542" w:type="dxa"/>
            <w:shd w:val="clear" w:color="auto" w:fill="auto"/>
          </w:tcPr>
          <w:p w14:paraId="170AB1D0" w14:textId="77777777" w:rsidR="009A552F" w:rsidRPr="00E83BAD" w:rsidRDefault="009A552F" w:rsidP="00E83BAD">
            <w:pPr>
              <w:autoSpaceDE w:val="0"/>
              <w:autoSpaceDN w:val="0"/>
              <w:adjustRightInd w:val="0"/>
              <w:jc w:val="both"/>
              <w:rPr>
                <w:i/>
              </w:rPr>
            </w:pPr>
            <w:r w:rsidRPr="00E83BAD">
              <w:rPr>
                <w:i/>
              </w:rPr>
              <w:t>0.00%</w:t>
            </w:r>
          </w:p>
        </w:tc>
      </w:tr>
      <w:tr w:rsidR="009A552F" w:rsidRPr="00E83BAD" w14:paraId="1F532DAE" w14:textId="77777777" w:rsidTr="0079285B">
        <w:tc>
          <w:tcPr>
            <w:tcW w:w="5472" w:type="dxa"/>
            <w:shd w:val="clear" w:color="auto" w:fill="auto"/>
          </w:tcPr>
          <w:p w14:paraId="0BC7E3AA" w14:textId="77777777" w:rsidR="009A552F" w:rsidRPr="00E83BAD" w:rsidRDefault="009A552F" w:rsidP="00E83BAD">
            <w:pPr>
              <w:autoSpaceDE w:val="0"/>
              <w:autoSpaceDN w:val="0"/>
              <w:adjustRightInd w:val="0"/>
              <w:jc w:val="both"/>
              <w:rPr>
                <w:i/>
              </w:rPr>
            </w:pPr>
            <w:r w:rsidRPr="00E83BAD">
              <w:rPr>
                <w:i/>
              </w:rPr>
              <w:t xml:space="preserve">Financial </w:t>
            </w:r>
            <w:proofErr w:type="spellStart"/>
            <w:r w:rsidRPr="00E83BAD">
              <w:rPr>
                <w:i/>
              </w:rPr>
              <w:t>Risks</w:t>
            </w:r>
            <w:proofErr w:type="spellEnd"/>
          </w:p>
        </w:tc>
        <w:tc>
          <w:tcPr>
            <w:tcW w:w="1542" w:type="dxa"/>
            <w:shd w:val="clear" w:color="auto" w:fill="auto"/>
          </w:tcPr>
          <w:p w14:paraId="0E75B386" w14:textId="77777777" w:rsidR="009A552F" w:rsidRPr="00E83BAD" w:rsidRDefault="009A552F" w:rsidP="00E83BAD">
            <w:pPr>
              <w:autoSpaceDE w:val="0"/>
              <w:autoSpaceDN w:val="0"/>
              <w:adjustRightInd w:val="0"/>
              <w:jc w:val="both"/>
              <w:rPr>
                <w:i/>
              </w:rPr>
            </w:pPr>
            <w:r w:rsidRPr="00E83BAD">
              <w:rPr>
                <w:i/>
              </w:rPr>
              <w:t>-0.70%</w:t>
            </w:r>
          </w:p>
        </w:tc>
        <w:tc>
          <w:tcPr>
            <w:tcW w:w="1542" w:type="dxa"/>
            <w:shd w:val="clear" w:color="auto" w:fill="auto"/>
          </w:tcPr>
          <w:p w14:paraId="5474C916" w14:textId="77777777" w:rsidR="009A552F" w:rsidRPr="00E83BAD" w:rsidRDefault="009A552F" w:rsidP="00E83BAD">
            <w:pPr>
              <w:autoSpaceDE w:val="0"/>
              <w:autoSpaceDN w:val="0"/>
              <w:adjustRightInd w:val="0"/>
              <w:jc w:val="both"/>
              <w:rPr>
                <w:i/>
              </w:rPr>
            </w:pPr>
            <w:r w:rsidRPr="00E83BAD">
              <w:rPr>
                <w:i/>
              </w:rPr>
              <w:t>-0.70%</w:t>
            </w:r>
          </w:p>
        </w:tc>
      </w:tr>
      <w:tr w:rsidR="009A552F" w:rsidRPr="00E83BAD" w14:paraId="6275F19D" w14:textId="77777777" w:rsidTr="0079285B">
        <w:trPr>
          <w:trHeight w:val="304"/>
        </w:trPr>
        <w:tc>
          <w:tcPr>
            <w:tcW w:w="5472" w:type="dxa"/>
            <w:shd w:val="clear" w:color="auto" w:fill="auto"/>
          </w:tcPr>
          <w:p w14:paraId="550C3A23" w14:textId="77777777" w:rsidR="009A552F" w:rsidRPr="00E83BAD" w:rsidRDefault="009A552F" w:rsidP="00E83BAD">
            <w:pPr>
              <w:jc w:val="both"/>
              <w:rPr>
                <w:b/>
                <w:i/>
              </w:rPr>
            </w:pPr>
            <w:r w:rsidRPr="00E83BAD">
              <w:rPr>
                <w:b/>
                <w:i/>
                <w:iCs/>
              </w:rPr>
              <w:t xml:space="preserve">Adj. Project </w:t>
            </w:r>
            <w:proofErr w:type="spellStart"/>
            <w:r w:rsidRPr="00E83BAD">
              <w:rPr>
                <w:b/>
                <w:i/>
                <w:iCs/>
              </w:rPr>
              <w:t>Discount</w:t>
            </w:r>
            <w:proofErr w:type="spellEnd"/>
            <w:r w:rsidRPr="00E83BAD">
              <w:rPr>
                <w:b/>
                <w:i/>
                <w:iCs/>
              </w:rPr>
              <w:t xml:space="preserve"> Rate:</w:t>
            </w:r>
          </w:p>
        </w:tc>
        <w:tc>
          <w:tcPr>
            <w:tcW w:w="1542" w:type="dxa"/>
            <w:shd w:val="clear" w:color="auto" w:fill="auto"/>
          </w:tcPr>
          <w:p w14:paraId="511F26F5" w14:textId="77777777" w:rsidR="009A552F" w:rsidRPr="00E83BAD" w:rsidRDefault="009A552F" w:rsidP="00E83BAD">
            <w:pPr>
              <w:jc w:val="both"/>
              <w:rPr>
                <w:i/>
              </w:rPr>
            </w:pPr>
            <w:r w:rsidRPr="00E83BAD">
              <w:rPr>
                <w:i/>
              </w:rPr>
              <w:t>17.46%</w:t>
            </w:r>
          </w:p>
        </w:tc>
        <w:tc>
          <w:tcPr>
            <w:tcW w:w="1542" w:type="dxa"/>
            <w:shd w:val="clear" w:color="auto" w:fill="auto"/>
          </w:tcPr>
          <w:p w14:paraId="33266177" w14:textId="77777777" w:rsidR="009A552F" w:rsidRPr="00E83BAD" w:rsidRDefault="009A552F" w:rsidP="00E83BAD">
            <w:pPr>
              <w:jc w:val="both"/>
              <w:rPr>
                <w:i/>
              </w:rPr>
            </w:pPr>
            <w:r w:rsidRPr="00E83BAD">
              <w:rPr>
                <w:i/>
              </w:rPr>
              <w:t>25.42%</w:t>
            </w:r>
          </w:p>
        </w:tc>
      </w:tr>
    </w:tbl>
    <w:p w14:paraId="61C2F6A4" w14:textId="20C1ECD6" w:rsidR="009A552F" w:rsidRPr="00E83BAD" w:rsidRDefault="009A552F" w:rsidP="0079285B">
      <w:pPr>
        <w:pStyle w:val="HTMLPreformatted"/>
        <w:shd w:val="clear" w:color="auto" w:fill="FFFFFF"/>
        <w:spacing w:after="120"/>
        <w:ind w:firstLine="0"/>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Fonte: Própria autoria</w:t>
      </w:r>
      <w:r w:rsidR="0079285B">
        <w:rPr>
          <w:rFonts w:ascii="Times New Roman" w:hAnsi="Times New Roman" w:cs="Times New Roman"/>
          <w:color w:val="212121"/>
          <w:sz w:val="24"/>
          <w:szCs w:val="24"/>
          <w:lang w:val="pt-PT"/>
        </w:rPr>
        <w:t xml:space="preserve"> (2017).</w:t>
      </w:r>
    </w:p>
    <w:p w14:paraId="0F7CCCEB" w14:textId="77777777" w:rsidR="009A552F" w:rsidRPr="00E83BAD" w:rsidRDefault="009A552F" w:rsidP="00E83BAD">
      <w:pPr>
        <w:ind w:firstLine="709"/>
        <w:jc w:val="both"/>
        <w:rPr>
          <w:color w:val="212121"/>
          <w:lang w:val="pt-PT"/>
        </w:rPr>
      </w:pPr>
      <w:r w:rsidRPr="00E83BAD">
        <w:rPr>
          <w:color w:val="212121"/>
          <w:lang w:val="pt-PT"/>
        </w:rPr>
        <w:t xml:space="preserve">Deve-se destacar ainda que os mesmos valores foram apresentados em todos os projetos mexicanos e brasileiros, independente do ano de </w:t>
      </w:r>
      <w:proofErr w:type="gramStart"/>
      <w:r w:rsidRPr="00E83BAD">
        <w:rPr>
          <w:color w:val="212121"/>
          <w:lang w:val="pt-PT"/>
        </w:rPr>
        <w:t>registro</w:t>
      </w:r>
      <w:proofErr w:type="gramEnd"/>
      <w:r w:rsidRPr="00E83BAD">
        <w:rPr>
          <w:color w:val="212121"/>
          <w:lang w:val="pt-PT"/>
        </w:rPr>
        <w:t xml:space="preserve">. Tal fato denota padronização das </w:t>
      </w:r>
      <w:r w:rsidRPr="00E83BAD">
        <w:rPr>
          <w:color w:val="212121"/>
          <w:lang w:val="pt-PT"/>
        </w:rPr>
        <w:lastRenderedPageBreak/>
        <w:t>informações, ou mesmo cópia, sem levar em consideração possíveis mudanças no cenário econômico, que podem ter ocorrido no período anterior à crise econômica mundial de 2008.</w:t>
      </w:r>
    </w:p>
    <w:p w14:paraId="41CE16F5" w14:textId="77777777" w:rsidR="009A552F" w:rsidRPr="00E83BAD" w:rsidRDefault="009A552F" w:rsidP="00E83BAD">
      <w:pPr>
        <w:ind w:firstLine="709"/>
        <w:jc w:val="both"/>
        <w:rPr>
          <w:color w:val="212121"/>
          <w:lang w:val="pt-PT"/>
        </w:rPr>
      </w:pPr>
      <w:r w:rsidRPr="00E83BAD">
        <w:rPr>
          <w:color w:val="212121"/>
          <w:lang w:val="pt-PT"/>
        </w:rPr>
        <w:t xml:space="preserve">Primeiro, o conservadorismo na utilização de uma taxa de desconto menor é uma questão controversa, já que ela superavalia fluxos de caixa futuros, o que pode não ser uma atitude conservadora em todos os casos. Taxas menores supõem que investidores aceitam remunerações menores, o que também não é conservador. Além disso, a utilização de uma taxa de desconto de 10%, embora os valores calculados em ambos os países </w:t>
      </w:r>
      <w:proofErr w:type="gramStart"/>
      <w:r w:rsidRPr="00E83BAD">
        <w:rPr>
          <w:color w:val="212121"/>
          <w:lang w:val="pt-PT"/>
        </w:rPr>
        <w:t>mostrem-se</w:t>
      </w:r>
      <w:proofErr w:type="gramEnd"/>
      <w:r w:rsidRPr="00E83BAD">
        <w:rPr>
          <w:color w:val="212121"/>
          <w:lang w:val="pt-PT"/>
        </w:rPr>
        <w:t xml:space="preserve"> superiores, apesar do excessivo conservadorismo, acarreta na perda de confiabilidade e na não representação fidedigna das informações financeiras.</w:t>
      </w:r>
    </w:p>
    <w:p w14:paraId="1A5388B4" w14:textId="77777777" w:rsidR="009A552F" w:rsidRPr="00E83BAD" w:rsidRDefault="009A552F" w:rsidP="00E83BAD">
      <w:pPr>
        <w:ind w:firstLine="709"/>
        <w:jc w:val="both"/>
        <w:rPr>
          <w:color w:val="212121"/>
          <w:lang w:val="pt-PT"/>
        </w:rPr>
      </w:pPr>
    </w:p>
    <w:p w14:paraId="11B010C0" w14:textId="77777777" w:rsidR="009A552F" w:rsidRPr="00E83BAD" w:rsidRDefault="009A552F" w:rsidP="00E83BAD">
      <w:pPr>
        <w:pStyle w:val="Heading2"/>
        <w:numPr>
          <w:ilvl w:val="2"/>
          <w:numId w:val="2"/>
        </w:numPr>
        <w:spacing w:before="0" w:line="240" w:lineRule="auto"/>
        <w:ind w:left="0" w:firstLine="709"/>
        <w:rPr>
          <w:szCs w:val="24"/>
        </w:rPr>
      </w:pPr>
      <w:r w:rsidRPr="00E83BAD">
        <w:rPr>
          <w:szCs w:val="24"/>
        </w:rPr>
        <w:t>Desempenho do mercado de carbono entre 2005 e 2010</w:t>
      </w:r>
    </w:p>
    <w:p w14:paraId="2A7F416F" w14:textId="16F21C68" w:rsidR="009A552F" w:rsidRPr="00E83BAD" w:rsidRDefault="009A552F" w:rsidP="00E83BAD">
      <w:pPr>
        <w:ind w:firstLine="709"/>
        <w:jc w:val="both"/>
        <w:rPr>
          <w:color w:val="212121"/>
          <w:lang w:val="pt-PT"/>
        </w:rPr>
      </w:pPr>
      <w:r w:rsidRPr="00E83BAD">
        <w:rPr>
          <w:color w:val="212121"/>
          <w:lang w:val="pt-PT"/>
        </w:rPr>
        <w:t>Como reflexo da crise econômica global, que teve início em 2008 e ocasionou uma desaceleração dos níveis de fabricação e consequentemente uma redução nas emissões de gases poluentes na atmosfera, somado a incerteza sobre as ações mundiais em relação à redução de emissões, os preços do crédito de carbono caíram consideravelmente nos últimos anos da década passada, especialmente depois ao término do primeiro período do Protocolo.</w:t>
      </w:r>
    </w:p>
    <w:p w14:paraId="6EFE1531" w14:textId="77777777" w:rsidR="009A552F" w:rsidRPr="00E83BAD" w:rsidRDefault="009A552F" w:rsidP="00E83BAD">
      <w:pPr>
        <w:spacing w:after="120"/>
        <w:ind w:firstLine="567"/>
        <w:jc w:val="both"/>
        <w:rPr>
          <w:b/>
          <w:color w:val="212121"/>
          <w:lang w:val="pt-PT"/>
        </w:rPr>
      </w:pPr>
    </w:p>
    <w:p w14:paraId="247FD8C9" w14:textId="77777777" w:rsidR="009A552F" w:rsidRPr="00E83BAD" w:rsidRDefault="009A552F" w:rsidP="0079285B">
      <w:pPr>
        <w:spacing w:after="120"/>
        <w:rPr>
          <w:b/>
          <w:color w:val="212121"/>
          <w:lang w:val="pt-PT"/>
        </w:rPr>
      </w:pPr>
      <w:r w:rsidRPr="00E83BAD">
        <w:rPr>
          <w:b/>
          <w:color w:val="212121"/>
          <w:lang w:val="pt-PT"/>
        </w:rPr>
        <w:t>Figura 2 – Preço da tonelada de Co</w:t>
      </w:r>
      <w:r w:rsidRPr="00E83BAD">
        <w:rPr>
          <w:b/>
          <w:color w:val="212121"/>
          <w:vertAlign w:val="subscript"/>
          <w:lang w:val="pt-PT"/>
        </w:rPr>
        <w:t>2</w:t>
      </w:r>
      <w:r w:rsidRPr="00E83BAD">
        <w:rPr>
          <w:b/>
          <w:color w:val="212121"/>
          <w:lang w:val="pt-PT"/>
        </w:rPr>
        <w:t>eq na União Européia em 10 anos (EU ETS)</w:t>
      </w:r>
    </w:p>
    <w:p w14:paraId="57AC64B8" w14:textId="77777777" w:rsidR="0058643D" w:rsidRPr="00E83BAD" w:rsidRDefault="0058643D" w:rsidP="0079285B">
      <w:pPr>
        <w:spacing w:after="120"/>
        <w:rPr>
          <w:b/>
          <w:color w:val="212121"/>
          <w:lang w:val="pt-PT"/>
        </w:rPr>
      </w:pPr>
      <w:r w:rsidRPr="00E83BAD">
        <w:rPr>
          <w:noProof/>
          <w:lang w:eastAsia="pt-BR"/>
        </w:rPr>
        <w:drawing>
          <wp:inline distT="0" distB="0" distL="0" distR="0" wp14:anchorId="2C5FA7E1" wp14:editId="6CB82546">
            <wp:extent cx="3895725" cy="2857500"/>
            <wp:effectExtent l="0" t="0" r="9525" b="0"/>
            <wp:docPr id="1" name="Imagem 1" descr="https://shellclimatechange.files.wordpress.com/2015/01/10-years-of-the-eu-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shellclimatechange.files.wordpress.com/2015/01/10-years-of-the-eu-et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5725" cy="2857500"/>
                    </a:xfrm>
                    <a:prstGeom prst="rect">
                      <a:avLst/>
                    </a:prstGeom>
                    <a:noFill/>
                    <a:ln>
                      <a:noFill/>
                    </a:ln>
                  </pic:spPr>
                </pic:pic>
              </a:graphicData>
            </a:graphic>
          </wp:inline>
        </w:drawing>
      </w:r>
    </w:p>
    <w:p w14:paraId="0BA0CE8C" w14:textId="62D55EDB" w:rsidR="009A552F" w:rsidRPr="00E83BAD" w:rsidRDefault="009A552F" w:rsidP="0079285B">
      <w:pPr>
        <w:spacing w:after="120"/>
        <w:rPr>
          <w:color w:val="212121"/>
          <w:lang w:val="pt-PT"/>
        </w:rPr>
      </w:pPr>
      <w:r w:rsidRPr="00E83BAD">
        <w:rPr>
          <w:color w:val="212121"/>
          <w:lang w:val="pt-PT"/>
        </w:rPr>
        <w:t xml:space="preserve">Fonte: Shell </w:t>
      </w:r>
      <w:r w:rsidRPr="00E83BAD">
        <w:rPr>
          <w:color w:val="212121"/>
          <w:lang w:val="pt-PT"/>
        </w:rPr>
        <w:fldChar w:fldCharType="begin" w:fldLock="1"/>
      </w:r>
      <w:r w:rsidRPr="00E83BAD">
        <w:rPr>
          <w:color w:val="212121"/>
          <w:lang w:val="pt-PT"/>
        </w:rPr>
        <w:instrText>ADDIN CSL_CITATION { "citationItems" : [ { "id" : "ITEM-1", "itemData" : { "author" : [ { "dropping-particle" : "", "family" : "Shell", "given" : "", "non-dropping-particle" : "", "parse-names" : false, "suffix" : "" } ], "id" : "ITEM-1", "issued" : { "date-parts" : [ [ "2015" ] ] }, "title" : "Ten years of the EU ETS \u2013 Shell Climate Change", "type" : "webpage" }, "suppress-author" : 1, "uris" : [ "http://www.mendeley.com/documents/?uuid=dd293fd6-31b1-372b-aa05-816dbf458ee3", "http://www.mendeley.com/documents/?uuid=a1380bb7-8923-464f-adf4-da8af0c2f686" ] } ], "mendeley" : { "formattedCitation" : "(2015)", "plainTextFormattedCitation" : "(2015)", "previouslyFormattedCitation" : "(2015)" }, "properties" : {  }, "schema" : "https://github.com/citation-style-language/schema/raw/master/csl-citation.json" }</w:instrText>
      </w:r>
      <w:r w:rsidRPr="00E83BAD">
        <w:rPr>
          <w:color w:val="212121"/>
          <w:lang w:val="pt-PT"/>
        </w:rPr>
        <w:fldChar w:fldCharType="separate"/>
      </w:r>
      <w:r w:rsidRPr="00E83BAD">
        <w:rPr>
          <w:noProof/>
          <w:color w:val="212121"/>
          <w:lang w:val="pt-PT"/>
        </w:rPr>
        <w:t>(2015)</w:t>
      </w:r>
      <w:r w:rsidRPr="00E83BAD">
        <w:rPr>
          <w:color w:val="212121"/>
          <w:lang w:val="pt-PT"/>
        </w:rPr>
        <w:fldChar w:fldCharType="end"/>
      </w:r>
    </w:p>
    <w:p w14:paraId="33209352" w14:textId="77777777" w:rsidR="00B3183D" w:rsidRPr="00E83BAD" w:rsidRDefault="00B3183D" w:rsidP="00E83BAD">
      <w:pPr>
        <w:ind w:firstLine="709"/>
        <w:jc w:val="both"/>
        <w:rPr>
          <w:color w:val="212121"/>
          <w:lang w:val="pt-PT"/>
        </w:rPr>
      </w:pPr>
    </w:p>
    <w:p w14:paraId="03C08F0E" w14:textId="160F5CC1" w:rsidR="009A552F" w:rsidRPr="00E83BAD" w:rsidRDefault="009A552F" w:rsidP="00E83BAD">
      <w:pPr>
        <w:ind w:firstLine="709"/>
        <w:jc w:val="both"/>
        <w:rPr>
          <w:color w:val="212121"/>
          <w:lang w:val="pt-PT"/>
        </w:rPr>
      </w:pPr>
      <w:r w:rsidRPr="00E83BAD">
        <w:rPr>
          <w:color w:val="212121"/>
          <w:lang w:val="pt-PT"/>
        </w:rPr>
        <w:t xml:space="preserve">Conforme a Tabela 4, nos anos em que se deram início os projetos de gestão de resíduo animal, elaborados pela empresa AgCert, os preços do crédito de carbono apresentavam uma forte tendência de alta, aumentando até para 30 euros. Nos anos seguintes ocorreu uma redução dos valores, pela superoferta de títulos </w:t>
      </w:r>
      <w:r w:rsidRPr="00E83BAD">
        <w:rPr>
          <w:color w:val="212121"/>
          <w:lang w:val="pt-PT"/>
        </w:rPr>
        <w:fldChar w:fldCharType="begin" w:fldLock="1"/>
      </w:r>
      <w:r w:rsidRPr="00E83BAD">
        <w:rPr>
          <w:color w:val="212121"/>
          <w:lang w:val="pt-PT"/>
        </w:rPr>
        <w:instrText>ADDIN CSL_CITATION { "citationItems" : [ { "id" : "ITEM-1", "itemData" : { "author" : [ { "dropping-particle" : "", "family" : "Point Carbon", "given" : "", "non-dropping-particle" : "", "parse-names" : false, "suffix" : "" } ], "id" : "ITEM-1", "issued" : { "date-parts" : [ [ "2012" ] ] }, "title" : "Point Carbon, 2012. Carry-over of AAUS from CP1 to CP2 \u2013 Future Implications for the Climate Regime. Point Carbon.", "type" : "webpage" }, "uris" : [ "http://www.mendeley.com/documents/?uuid=c37a7fdb-b04e-4de8-9d1d-f31ff60609f9", "http://www.mendeley.com/documents/?uuid=021000cf-d115-4730-9826-409bc8907f48" ] } ], "mendeley" : { "formattedCitation" : "(Point Carbon, 2012)", "plainTextFormattedCitation" : "(Point Carbon, 2012)", "previouslyFormattedCitation" : "(POINT CARBON, 2012)" }, "properties" : {  }, "schema" : "https://github.com/citation-style-language/schema/raw/master/csl-citation.json" }</w:instrText>
      </w:r>
      <w:r w:rsidRPr="00E83BAD">
        <w:rPr>
          <w:color w:val="212121"/>
          <w:lang w:val="pt-PT"/>
        </w:rPr>
        <w:fldChar w:fldCharType="separate"/>
      </w:r>
      <w:r w:rsidRPr="00E83BAD">
        <w:rPr>
          <w:noProof/>
          <w:color w:val="212121"/>
          <w:lang w:val="pt-PT"/>
        </w:rPr>
        <w:t>(</w:t>
      </w:r>
      <w:r w:rsidR="008B4318" w:rsidRPr="00E83BAD">
        <w:rPr>
          <w:noProof/>
          <w:color w:val="212121"/>
          <w:lang w:val="pt-PT"/>
        </w:rPr>
        <w:t>POINT CARBON</w:t>
      </w:r>
      <w:r w:rsidRPr="00E83BAD">
        <w:rPr>
          <w:noProof/>
          <w:color w:val="212121"/>
          <w:lang w:val="pt-PT"/>
        </w:rPr>
        <w:t>, 2012)</w:t>
      </w:r>
      <w:r w:rsidRPr="00E83BAD">
        <w:rPr>
          <w:color w:val="212121"/>
          <w:lang w:val="pt-PT"/>
        </w:rPr>
        <w:fldChar w:fldCharType="end"/>
      </w:r>
      <w:r w:rsidRPr="00E83BAD">
        <w:rPr>
          <w:color w:val="212121"/>
          <w:lang w:val="pt-PT"/>
        </w:rPr>
        <w:t xml:space="preserve">. </w:t>
      </w:r>
    </w:p>
    <w:p w14:paraId="0D3CAC89" w14:textId="75C01B8A" w:rsidR="009A552F" w:rsidRPr="00E83BAD" w:rsidRDefault="009A552F" w:rsidP="00E83BAD">
      <w:pPr>
        <w:ind w:firstLine="709"/>
        <w:jc w:val="both"/>
        <w:rPr>
          <w:color w:val="212121"/>
          <w:lang w:val="pt-PT"/>
        </w:rPr>
      </w:pPr>
      <w:r w:rsidRPr="00E83BAD">
        <w:rPr>
          <w:color w:val="212121"/>
          <w:lang w:val="pt-PT"/>
        </w:rPr>
        <w:t xml:space="preserve">Note-se que é pratica comum em projetos MDL de resíduos repetir para todo o período de existência das projeto os mesmos preços de seu início, sem qualquer consideração até mesmo da extinção do acordo de Quioto </w:t>
      </w:r>
      <w:r w:rsidRPr="00E83BAD">
        <w:rPr>
          <w:color w:val="212121"/>
          <w:lang w:val="pt-PT"/>
        </w:rPr>
        <w:fldChar w:fldCharType="begin" w:fldLock="1"/>
      </w:r>
      <w:r w:rsidRPr="00E83BAD">
        <w:rPr>
          <w:color w:val="212121"/>
          <w:lang w:val="pt-PT"/>
        </w:rPr>
        <w:instrText>ADDIN CSL_CITATION { "citationItems" : [ { "id" : "ITEM-1", "itemData" : { "DOI" : "10.1016/j.wasman.2015.06.030", "ISSN" : "0956053X", "abstract" : "a b s t r a c t This study illustrates the financial analyses for demonstration and assessment of additionality presented in the project design (PDD) and enclosed documents of the 431 large Clean Development Mechanisms (CDM) classified as the 'waste handling and disposal sector' (13) over the past ten years (2004\u20132014). The expected certified emissions reductions (CER) of these projects total 63.54 million metric tons of CO 2 eq, where eight countries account for 311 projects and 43.36 million metric tons. All of the projects declare themselves 'not financially attractive' without CER with an estimated sum of negative results of approximately a half billion US$. The results indicate that WM benchmarks and indicators are converging and reducing in variance, and the sensitivity analysis reveals that revenues have a greater effect on the financial results. This work concludes that an extensive financial database with simple standards for dis-closure would greatly diminish statement problems and make information more comparable, reducing the risk and capital costs of WM projects.", "author" : [ { "dropping-particle" : "", "family" : "Bufoni", "given" : "A.L.", "non-dropping-particle" : "", "parse-names" : false, "suffix" : "" }, { "dropping-particle" : "", "family" : "Oliveira", "given" : "Luciano Basto", "non-dropping-particle" : "", "parse-names" : false, "suffix" : "" }, { "dropping-particle" : "", "family" : "Rosa", "given" : "Luiz Pinguelli", "non-dropping-particle" : "", "parse-names" : false, "suffix" : "" } ], "container-title" : "Waste Management", "id" : "ITEM-1", "issue" : "September", "issued" : { "date-parts" : [ [ "2015", "9" ] ] }, "page" : "497-508", "title" : "The financial attractiveness assessment of large waste management projects registered as clean development mechanism", "type" : "article-journal", "volume" : "43" }, "uris" : [ "http://www.mendeley.com/documents/?uuid=fb229129-5d9d-4068-8fff-a7b432ef7170", "http://www.mendeley.com/documents/?uuid=81241779-07fe-3884-9231-70c7077007db" ] } ], "mendeley" : { "formattedCitation" : "(A.L. Bufoni et al., 2015)", "plainTextFormattedCitation" : "(A.L. Bufoni et al., 2015)", "previouslyFormattedCitation" : "(BUFONI; OLIVEIRA; ROSA, 2015)" }, "properties" : {  }, "schema" : "https://github.com/citation-style-language/schema/raw/master/csl-citation.json" }</w:instrText>
      </w:r>
      <w:r w:rsidRPr="00E83BAD">
        <w:rPr>
          <w:color w:val="212121"/>
          <w:lang w:val="pt-PT"/>
        </w:rPr>
        <w:fldChar w:fldCharType="separate"/>
      </w:r>
      <w:r w:rsidRPr="00E83BAD">
        <w:rPr>
          <w:noProof/>
          <w:color w:val="212121"/>
          <w:lang w:val="pt-PT"/>
        </w:rPr>
        <w:t>(</w:t>
      </w:r>
      <w:r w:rsidR="008B4318" w:rsidRPr="00E83BAD">
        <w:rPr>
          <w:noProof/>
          <w:color w:val="212121"/>
          <w:lang w:val="pt-PT"/>
        </w:rPr>
        <w:t xml:space="preserve">BUFONI </w:t>
      </w:r>
      <w:r w:rsidRPr="00E83BAD">
        <w:rPr>
          <w:noProof/>
          <w:color w:val="212121"/>
          <w:lang w:val="pt-PT"/>
        </w:rPr>
        <w:t>et al., 2015)</w:t>
      </w:r>
      <w:r w:rsidRPr="00E83BAD">
        <w:rPr>
          <w:color w:val="212121"/>
          <w:lang w:val="pt-PT"/>
        </w:rPr>
        <w:fldChar w:fldCharType="end"/>
      </w:r>
      <w:r w:rsidRPr="00E83BAD">
        <w:rPr>
          <w:color w:val="212121"/>
          <w:lang w:val="pt-PT"/>
        </w:rPr>
        <w:t>. Apesar de não apresentar em nenhum dos projetos qualquer estimativa com relação ao preço esperado dos créditos, é notorio, pela inexistência de outras receitas, que existia a expectativa da manutenção de valores inicialmente estimados.</w:t>
      </w:r>
    </w:p>
    <w:p w14:paraId="6BB3A9D5" w14:textId="77777777" w:rsidR="009A552F" w:rsidRPr="00E83BAD" w:rsidRDefault="009A552F" w:rsidP="00E83BAD">
      <w:pPr>
        <w:ind w:firstLine="709"/>
        <w:jc w:val="both"/>
        <w:rPr>
          <w:color w:val="212121"/>
          <w:lang w:val="pt-PT"/>
        </w:rPr>
      </w:pPr>
    </w:p>
    <w:p w14:paraId="668734B5" w14:textId="77777777" w:rsidR="009A552F" w:rsidRPr="00E83BAD" w:rsidRDefault="009A552F" w:rsidP="00E83BAD">
      <w:pPr>
        <w:pStyle w:val="Heading2"/>
        <w:numPr>
          <w:ilvl w:val="1"/>
          <w:numId w:val="2"/>
        </w:numPr>
        <w:spacing w:before="0" w:line="240" w:lineRule="auto"/>
        <w:ind w:left="0" w:firstLine="709"/>
        <w:rPr>
          <w:szCs w:val="24"/>
        </w:rPr>
      </w:pPr>
      <w:r w:rsidRPr="00E83BAD">
        <w:rPr>
          <w:szCs w:val="24"/>
        </w:rPr>
        <w:t>Resultados da Segunda Análise – Características Qualitativas</w:t>
      </w:r>
    </w:p>
    <w:p w14:paraId="6BFDE5FC" w14:textId="1EAAB541" w:rsidR="009A552F" w:rsidRPr="00E83BAD" w:rsidRDefault="009A552F" w:rsidP="00E83BAD">
      <w:pPr>
        <w:ind w:firstLine="709"/>
        <w:jc w:val="both"/>
        <w:rPr>
          <w:color w:val="212121"/>
          <w:lang w:val="pt-PT"/>
        </w:rPr>
      </w:pPr>
      <w:r w:rsidRPr="00E83BAD">
        <w:rPr>
          <w:color w:val="212121"/>
          <w:lang w:val="pt-PT"/>
        </w:rPr>
        <w:t xml:space="preserve">Há inúmeros referenciais que poderiam ser usados para se efetuar a avaliação da qualidade da informação financeira declarada pelos projetistas quando da elaboração dos MDL de resíduos animais </w:t>
      </w:r>
      <w:r w:rsidRPr="00E83BAD">
        <w:rPr>
          <w:color w:val="212121"/>
          <w:lang w:val="pt-PT"/>
        </w:rPr>
        <w:lastRenderedPageBreak/>
        <w:fldChar w:fldCharType="begin" w:fldLock="1"/>
      </w:r>
      <w:r w:rsidRPr="00E83BAD">
        <w:rPr>
          <w:color w:val="212121"/>
          <w:lang w:val="pt-PT"/>
        </w:rPr>
        <w:instrText>ADDIN CSL_CITATION { "citationItems" : [ { "id" : "ITEM-1", "itemData" : { "abstract" : "RESUMO Apresentam-se neste artigo os resultados de an\u00e1lise comparativa entre os atributos componentes das \" Caracter\u00edsticas Qualitativas da Informa\u00e7\u00e3o Cont\u00e1bil \" pertencentes \u00e0 Estrutura Conceitual da Contabilidade e as dimens\u00f5es e atributos de qualidade da informa\u00e7\u00e3o propostos pela literatura que fundamenta os estudos sobre o tema na Ci\u00eancia da Informa\u00e7\u00e3o com vistas a identificar eventuais semelhan\u00e7as e/ou diferen\u00e7as entre os pressupostos de qualidade da informa\u00e7\u00e3o utilizados pelas duas \u00e1reas do conhecimento. Foram constatadas similaridades e tamb\u00e9m diferen\u00e7as entre os atributos e/ou dimens\u00f5es utilizados para qualificar a informa\u00e7\u00e3o nas duas \u00e1reas do conhecimento. A falta de consenso n\u00e3o somente quanto ao conceito de qualidade da informa\u00e7\u00e3o como tamb\u00e9m em rela\u00e7\u00e3o aos atributos e/ou dimens\u00f5es de qualidade utilizadas para qualificar a informa\u00e7\u00e3o \u00e9 tamb\u00e9m ressaltada neste estudo. Os resultados do estudo evidenciaram ainda que as dimens\u00f5es, caracter\u00edsticas e/ou atributos de qualidade da informa\u00e7\u00e3o utilizados como base nos estudos da CI s\u00e3o geralmente apresentados como simples listas, n\u00e3o existindo ainda um framework definido para fundamentar os estudos sobre qualidade da informa\u00e7\u00e3o na Ci\u00eancia da Informa\u00e7\u00e3o tal como o existente nas Ci\u00eancias Cont\u00e1beis. Al\u00e9m de corroborar resultados de estudos anteriores sobre o tema, tais constata\u00e7\u00f5es ratificam as proposi\u00e7\u00f5es desses estudos quanto a import\u00e2ncia de um framework geral para a avalia\u00e7\u00e3o da qualidade da informa\u00e7\u00e3o em contextos semelhantes. Assim, entende-se que esfor\u00e7os devem ser feitos no sentido de se buscar na Ci\u00eancia da Informa\u00e7\u00e3o a consolida\u00e7\u00e3o de um framework geral que pudesse servir como refer\u00eancia na defini\u00e7\u00e3o e an\u00e1lise da qualidade da informa\u00e7\u00e3o nessa importante \u00e1rea do conhecimento. Palavras-chave: Qualidade da Informa\u00e7\u00e3o; Caracter\u00edsticas Qualitativas da Informa\u00e7\u00e3o Cont\u00e1bil; Ci\u00eancia da Informa\u00e7\u00e3o.", "author" : [ { "dropping-particle" : "", "family" : "Valente", "given" : "Nelma T Zubek", "non-dropping-particle" : "", "parse-names" : false, "suffix" : "" }, { "dropping-particle" : "", "family" : "Fujino", "given" : "Asa", "non-dropping-particle" : "", "parse-names" : false, "suffix" : "" } ], "container-title" : "VI Congresso ANPCONT", "id" : "ITEM-1", "issued" : { "date-parts" : [ [ "2012" ] ] }, "publisher-place" : "Florian\u00f3polis", "title" : "CARACTER\u00cdSTICAS QUALITATIVAS DA INFORMA\u00c7\u00c3O CONT\u00c1BIL E OS ATRIBUTOS E DIMENS\u00d5ES DE QUALIDADE NA CI\u00caNCIA DA INFORMA\u00c7\u00c3O", "type" : "paper-conference" }, "uris" : [ "http://www.mendeley.com/documents/?uuid=16f11a8d-66db-4612-bddc-f632a414f6c5", "http://www.mendeley.com/documents/?uuid=5c1b11db-405b-31c5-93fe-8685c4018c8c" ] } ], "mendeley" : { "formattedCitation" : "(Valente &amp; Fujino, 2012)", "plainTextFormattedCitation" : "(Valente &amp; Fujino, 2012)", "previouslyFormattedCitation" : "(VALENTE; FUJINO, 2012)" }, "properties" : {  }, "schema" : "https://github.com/citation-style-language/schema/raw/master/csl-citation.json" }</w:instrText>
      </w:r>
      <w:r w:rsidRPr="00E83BAD">
        <w:rPr>
          <w:color w:val="212121"/>
          <w:lang w:val="pt-PT"/>
        </w:rPr>
        <w:fldChar w:fldCharType="separate"/>
      </w:r>
      <w:r w:rsidRPr="00E83BAD">
        <w:rPr>
          <w:noProof/>
          <w:color w:val="212121"/>
          <w:lang w:val="pt-PT"/>
        </w:rPr>
        <w:t>(</w:t>
      </w:r>
      <w:r w:rsidR="008B4318" w:rsidRPr="00E83BAD">
        <w:rPr>
          <w:noProof/>
          <w:color w:val="212121"/>
          <w:lang w:val="pt-PT"/>
        </w:rPr>
        <w:t>VALENTE</w:t>
      </w:r>
      <w:r w:rsidR="008B4318">
        <w:rPr>
          <w:noProof/>
          <w:color w:val="212121"/>
          <w:lang w:val="pt-PT"/>
        </w:rPr>
        <w:t>;</w:t>
      </w:r>
      <w:r w:rsidR="008B4318" w:rsidRPr="00E83BAD">
        <w:rPr>
          <w:noProof/>
          <w:color w:val="212121"/>
          <w:lang w:val="pt-PT"/>
        </w:rPr>
        <w:t xml:space="preserve"> FUJINO</w:t>
      </w:r>
      <w:r w:rsidRPr="00E83BAD">
        <w:rPr>
          <w:noProof/>
          <w:color w:val="212121"/>
          <w:lang w:val="pt-PT"/>
        </w:rPr>
        <w:t>, 2012)</w:t>
      </w:r>
      <w:r w:rsidRPr="00E83BAD">
        <w:rPr>
          <w:color w:val="212121"/>
          <w:lang w:val="pt-PT"/>
        </w:rPr>
        <w:fldChar w:fldCharType="end"/>
      </w:r>
      <w:r w:rsidRPr="00E83BAD">
        <w:rPr>
          <w:color w:val="212121"/>
          <w:lang w:val="pt-PT"/>
        </w:rPr>
        <w:t xml:space="preserve">. Um dos mais utilizados mundialmente ainda é o baseado nos pronunciamento do Financial Accounting Standard Board (FASB) </w:t>
      </w:r>
      <w:r w:rsidRPr="00E83BAD">
        <w:rPr>
          <w:color w:val="212121"/>
          <w:lang w:val="pt-PT"/>
        </w:rPr>
        <w:fldChar w:fldCharType="begin" w:fldLock="1"/>
      </w:r>
      <w:r w:rsidRPr="00E83BAD">
        <w:rPr>
          <w:color w:val="212121"/>
          <w:lang w:val="pt-PT"/>
        </w:rPr>
        <w:instrText>ADDIN CSL_CITATION { "citationItems" : [ { "id" : "ITEM-1", "itemData" : { "abstract" : "A presente pesquisa objetivou analisar se o grau de entendimento dos gestores financeiros de empresas do setor el\u00e9trico brasileiro quanto \u00e0s caracter\u00edsticas qualitativas das informa\u00e7\u00f5es cont\u00e1beis est\u00e1 relacionado com o seu tempo de experi\u00eancia na fun\u00e7\u00e3o e/ou com sua \u00e1rea de forma\u00e7\u00e3o acad\u00eamica. O m\u00e9todo utilizado foi o indutivo, quanto aos objetivos a pesquisa foi descritiva, realizada atrav\u00e9s da pesquisa bibliogr\u00e1fica e de levantamento, e qualitativa quanto \u00e0 abordagem do problema. A amostra composta por 28 gestores financeiros foi definida de forma n\u00e3o probabil\u00edstica e por acessibilidade. Concluiu-se que o grau de entendimento quanto \u00e0s caracter\u00edsticas qualitativas da informa\u00e7\u00e3o cont\u00e1bil n\u00e3o est\u00e1 relacionado com as vari\u00e1veis das hip\u00f3teses de pesquisa (tempo de experi\u00eancia e \u00e1rea de forma\u00e7\u00e3o acad\u00eamica), tampouco com as demais vari\u00e1veis, com exce\u00e7\u00e3o das associa\u00e7\u00f5es encontradas entre as caracter\u00edsticas da tempestividade e do valor como feedback e a vari\u00e1vel tempo de experi\u00eancia, entre o grau de entendimento quanto ao valor preditivo e o tipo de empresa, entre a representa\u00e7\u00e3o fiel e as vari\u00e1veis g\u00eanero e regi\u00e3o e entre a caracter\u00edstica da neutralidade e a fun\u00e7\u00e3o e o n\u00edvel de escolaridade do gestor. 1 Introdu\u00e7\u00e3o As mudan\u00e7as ocorridas no cen\u00e1rio econ\u00f4mico mundial, nas \u00faltimas d\u00e9cadas, constituem um grande desafio para as organiza\u00e7\u00f5es, \u00e0 medida que afetam diretamente o desempenho da gest\u00e3o empresarial, influenciada pelo redimensionamento do mercado e, conseq\u00fcentemente, pelo aumento da competitividade. Dentre as ind\u00fastrias mais afetadas por esse cen\u00e1rio destacam-se as de energia el\u00e9trica, cujo processo de reestrutura\u00e7\u00e3o est\u00e1 associado n\u00e3o s\u00f3 \u00e0s altera\u00e7\u00f5es estruturais da economia mundial como tamb\u00e9m a fatores e caracter\u00edsticas intr\u00ednsecas, problemas estruturais e cr\u00edticos, conjuntura ambiental e tend\u00eancias existentes no setor (MATSUDO, 2001). Um desses fatores \u00e9 relatado por Theot\u00f4nio (1999), quando afirma que a economia mundial enfrentou intensas mudan\u00e7as, nas \u00faltimas d\u00e9cadas, com rela\u00e7\u00e3o ao papel desempenhado pelo Estado, entre elas, a redu\u00e7\u00e3o da participa\u00e7\u00e3o do Setor P\u00fablico como empres\u00e1rio que levou a crescente participa\u00e7\u00e3o da iniciativa privada e a inser\u00e7\u00e3o da competitividade em setores originalmente estatais, bem como a re-regulamenta\u00e7\u00e3o dos servi\u00e7os p\u00fablicos. Nesse contexto, o autor cita o exemplo dos Estados Unidos, Argentina e Chile que reestruturaram v\u00e1rios setores, inclusive o de energia el\u00e9trica, com a ajuda de capital privado. No Brasil, a situa\u00e7\u00e3o\u2026", "author" : [ { "dropping-particle" : "", "family" : "Campelo", "given" : "Karina Sim\u00f5es", "non-dropping-particle" : "", "parse-names" : false, "suffix" : "" }, { "dropping-particle" : "", "family" : "Libonati", "given" : "Jeronymo Jos\u00e9", "non-dropping-particle" : "", "parse-names" : false, "suffix" : "" }, { "dropping-particle" : "", "family" : "Cravo", "given" : "Umbelina", "non-dropping-particle" : "", "parse-names" : false, "suffix" : "" }, { "dropping-particle" : "", "family" : "Lagioia", "given" : "Teixeira", "non-dropping-particle" : "", "parse-names" : false, "suffix" : "" }, { "dropping-particle" : "Dos", "family" : "Santos", "given" : "Ruthberg", "non-dropping-particle" : "", "parse-names" : false, "suffix" : "" }, { "dropping-particle" : "", "family" : "Veloso", "given" : "Carolina", "non-dropping-particle" : "", "parse-names" : false, "suffix" : "" }, { "dropping-particle" : "", "family" : "Resumo", "given" : "Maciel", "non-dropping-particle" : "", "parse-names" : false, "suffix" : "" } ], "container-title" : "XXXII Encontro da ANPAD", "id" : "ITEM-1", "issued" : { "date-parts" : [ [ "2008" ] ] }, "publisher-place" : "Rio de Janeiro", "title" : "Caracter\u00edsticas Qualitativas da Informa\u00e7\u00e3o Cont\u00e1bil: uma An\u00e1lise do Grau de Entendimento dos Gestores Financeiros de Empresas do Setor El\u00e9trico Brasileiro", "type" : "paper-conference" }, "uris" : [ "http://www.mendeley.com/documents/?uuid=fdcc53c4-f592-499b-800a-a8f8d2dc689e", "http://www.mendeley.com/documents/?uuid=13b6cfe1-fb2f-34a6-86b7-d4f6b9031ce9" ] } ], "mendeley" : { "formattedCitation" : "(Campelo et al., 2008)", "plainTextFormattedCitation" : "(Campelo et al., 2008)", "previouslyFormattedCitation" : "(CAMPELO et al., 2008)" }, "properties" : {  }, "schema" : "https://github.com/citation-style-language/schema/raw/master/csl-citation.json" }</w:instrText>
      </w:r>
      <w:r w:rsidRPr="00E83BAD">
        <w:rPr>
          <w:color w:val="212121"/>
          <w:lang w:val="pt-PT"/>
        </w:rPr>
        <w:fldChar w:fldCharType="separate"/>
      </w:r>
      <w:r w:rsidRPr="00E83BAD">
        <w:rPr>
          <w:noProof/>
          <w:color w:val="212121"/>
          <w:lang w:val="pt-PT"/>
        </w:rPr>
        <w:t>(</w:t>
      </w:r>
      <w:r w:rsidR="008B4318" w:rsidRPr="00E83BAD">
        <w:rPr>
          <w:noProof/>
          <w:color w:val="212121"/>
          <w:lang w:val="pt-PT"/>
        </w:rPr>
        <w:t>CAMPELO</w:t>
      </w:r>
      <w:r w:rsidRPr="00E83BAD">
        <w:rPr>
          <w:noProof/>
          <w:color w:val="212121"/>
          <w:lang w:val="pt-PT"/>
        </w:rPr>
        <w:t xml:space="preserve"> et al., 2008)</w:t>
      </w:r>
      <w:r w:rsidRPr="00E83BAD">
        <w:rPr>
          <w:color w:val="212121"/>
          <w:lang w:val="pt-PT"/>
        </w:rPr>
        <w:fldChar w:fldCharType="end"/>
      </w:r>
      <w:r w:rsidRPr="00E83BAD">
        <w:rPr>
          <w:color w:val="212121"/>
          <w:lang w:val="pt-PT"/>
        </w:rPr>
        <w:t>.</w:t>
      </w:r>
    </w:p>
    <w:p w14:paraId="066CD369" w14:textId="52E0DEA3" w:rsidR="009A552F" w:rsidRPr="00E83BAD" w:rsidRDefault="00D9241C" w:rsidP="00E83BAD">
      <w:pPr>
        <w:ind w:firstLine="709"/>
        <w:jc w:val="both"/>
        <w:rPr>
          <w:color w:val="212121"/>
          <w:lang w:val="pt-PT"/>
        </w:rPr>
      </w:pPr>
      <w:r>
        <w:rPr>
          <w:color w:val="212121"/>
          <w:lang w:val="pt-PT"/>
        </w:rPr>
        <w:t xml:space="preserve">Tomando como </w:t>
      </w:r>
      <w:proofErr w:type="gramStart"/>
      <w:r>
        <w:rPr>
          <w:color w:val="212121"/>
          <w:lang w:val="pt-PT"/>
        </w:rPr>
        <w:t xml:space="preserve">base </w:t>
      </w:r>
      <w:r w:rsidR="009A552F" w:rsidRPr="00E83BAD">
        <w:rPr>
          <w:color w:val="212121"/>
          <w:lang w:val="pt-PT"/>
        </w:rPr>
        <w:t xml:space="preserve"> as</w:t>
      </w:r>
      <w:proofErr w:type="gramEnd"/>
      <w:r w:rsidR="009A552F" w:rsidRPr="00E83BAD">
        <w:rPr>
          <w:color w:val="212121"/>
          <w:lang w:val="pt-PT"/>
        </w:rPr>
        <w:t xml:space="preserve"> características qualitativas </w:t>
      </w:r>
      <w:r>
        <w:rPr>
          <w:color w:val="212121"/>
          <w:lang w:val="pt-PT"/>
        </w:rPr>
        <w:t xml:space="preserve">da informação contábil </w:t>
      </w:r>
      <w:r w:rsidR="009A552F" w:rsidRPr="00E83BAD">
        <w:rPr>
          <w:color w:val="212121"/>
          <w:lang w:val="pt-PT"/>
        </w:rPr>
        <w:t xml:space="preserve">em comparação </w:t>
      </w:r>
      <w:r>
        <w:rPr>
          <w:color w:val="212121"/>
          <w:lang w:val="pt-PT"/>
        </w:rPr>
        <w:t>à</w:t>
      </w:r>
      <w:r w:rsidRPr="00E83BAD">
        <w:rPr>
          <w:color w:val="212121"/>
          <w:lang w:val="pt-PT"/>
        </w:rPr>
        <w:t>s</w:t>
      </w:r>
      <w:r>
        <w:rPr>
          <w:color w:val="212121"/>
          <w:lang w:val="pt-PT"/>
        </w:rPr>
        <w:t xml:space="preserve"> características apresentadas nas</w:t>
      </w:r>
      <w:r w:rsidR="009A552F" w:rsidRPr="00E83BAD">
        <w:rPr>
          <w:color w:val="212121"/>
          <w:lang w:val="pt-PT"/>
        </w:rPr>
        <w:t xml:space="preserve"> informações dos projetos</w:t>
      </w:r>
      <w:r>
        <w:rPr>
          <w:color w:val="212121"/>
          <w:lang w:val="pt-PT"/>
        </w:rPr>
        <w:t xml:space="preserve"> nossa análise procurou estabelecer uma medida de qualidade</w:t>
      </w:r>
      <w:r w:rsidR="009A552F" w:rsidRPr="00E83BAD">
        <w:rPr>
          <w:color w:val="212121"/>
          <w:lang w:val="pt-PT"/>
        </w:rPr>
        <w:t>. Algumas dessas carcterísticas, tais como tempestividade, relevância e compreensibilidade não foram comparadas, porque não se aplicam ao contexto de planejamento que estavam inseridas, nos concentrando nas que foram indubitavelmente transgredidas ou adulteradas:</w:t>
      </w:r>
    </w:p>
    <w:p w14:paraId="17F71520" w14:textId="77777777" w:rsidR="009A552F" w:rsidRPr="00E83BAD" w:rsidRDefault="009A552F" w:rsidP="00E83BAD">
      <w:pPr>
        <w:ind w:firstLine="709"/>
        <w:jc w:val="both"/>
        <w:rPr>
          <w:color w:val="212121"/>
          <w:lang w:val="pt-PT"/>
        </w:rPr>
      </w:pPr>
      <w:r w:rsidRPr="00E83BAD">
        <w:rPr>
          <w:color w:val="212121"/>
          <w:lang w:val="pt-PT"/>
        </w:rPr>
        <w:t>Valor preditivo – qualidade da informação que auxilia os usuários a aumentarem a probabilidade de prever corretamente o resultado dos eventos passados ou futuros. Os projetos verificados são fracos nessa característica. A modularização e a uniformização dos valores, diminuem sensivelmente a possibilidade de se efetuar qualquer estimativa com relação ao futuro do projeto.</w:t>
      </w:r>
    </w:p>
    <w:p w14:paraId="7CF22604" w14:textId="77777777" w:rsidR="009A552F" w:rsidRPr="00E83BAD" w:rsidRDefault="009A552F" w:rsidP="00E83BAD">
      <w:pPr>
        <w:ind w:firstLine="709"/>
        <w:jc w:val="both"/>
        <w:rPr>
          <w:color w:val="212121"/>
          <w:lang w:val="pt-PT"/>
        </w:rPr>
      </w:pPr>
      <w:r w:rsidRPr="00E83BAD">
        <w:rPr>
          <w:color w:val="212121"/>
          <w:lang w:val="pt-PT"/>
        </w:rPr>
        <w:t xml:space="preserve">Valor como feeedback – </w:t>
      </w:r>
      <w:r w:rsidRPr="00E83BAD">
        <w:rPr>
          <w:color w:val="212121"/>
        </w:rPr>
        <w:t>quando ajudam a confirmar ou corrigir as suas avaliações anteriores</w:t>
      </w:r>
      <w:r w:rsidRPr="00E83BAD">
        <w:rPr>
          <w:color w:val="212121"/>
          <w:lang w:val="pt-PT"/>
        </w:rPr>
        <w:t xml:space="preserve">. </w:t>
      </w:r>
      <w:proofErr w:type="gramStart"/>
      <w:r w:rsidRPr="00E83BAD">
        <w:rPr>
          <w:color w:val="212121"/>
          <w:lang w:val="pt-PT"/>
        </w:rPr>
        <w:t>As informações apresentadas não tem</w:t>
      </w:r>
      <w:proofErr w:type="gramEnd"/>
      <w:r w:rsidRPr="00E83BAD">
        <w:rPr>
          <w:color w:val="212121"/>
          <w:lang w:val="pt-PT"/>
        </w:rPr>
        <w:t xml:space="preserve"> qualquer valor de feedback, pois não foram baseados em dados passados reais.</w:t>
      </w:r>
    </w:p>
    <w:p w14:paraId="70A96CE6" w14:textId="77777777" w:rsidR="009A552F" w:rsidRPr="00E83BAD" w:rsidRDefault="009A552F" w:rsidP="00E83BAD">
      <w:pPr>
        <w:ind w:firstLine="709"/>
        <w:jc w:val="both"/>
        <w:rPr>
          <w:color w:val="212121"/>
        </w:rPr>
      </w:pPr>
      <w:r w:rsidRPr="00E83BAD">
        <w:rPr>
          <w:color w:val="212121"/>
        </w:rPr>
        <w:t xml:space="preserve">Neutralidade – torna </w:t>
      </w:r>
      <w:proofErr w:type="gramStart"/>
      <w:r w:rsidRPr="00E83BAD">
        <w:rPr>
          <w:color w:val="212121"/>
        </w:rPr>
        <w:t>a</w:t>
      </w:r>
      <w:proofErr w:type="gramEnd"/>
      <w:r w:rsidRPr="00E83BAD">
        <w:rPr>
          <w:color w:val="212121"/>
        </w:rPr>
        <w:t xml:space="preserve"> informação confiável. As informações não serão neutras se, pela escolha ou apresentação da informação, elas influenciarem a tomada de decisão ou um julgamento a fim de atingir um resultado ou desfecho predeterminado. Neste caso o desfecho almejado é </w:t>
      </w:r>
      <w:proofErr w:type="gramStart"/>
      <w:r w:rsidRPr="00E83BAD">
        <w:rPr>
          <w:color w:val="212121"/>
        </w:rPr>
        <w:t>a</w:t>
      </w:r>
      <w:proofErr w:type="gramEnd"/>
      <w:r w:rsidRPr="00E83BAD">
        <w:rPr>
          <w:color w:val="212121"/>
        </w:rPr>
        <w:t xml:space="preserve"> aprovação do projeto.</w:t>
      </w:r>
    </w:p>
    <w:p w14:paraId="2EC3A0BA" w14:textId="77777777" w:rsidR="009A552F" w:rsidRPr="00E83BAD" w:rsidRDefault="009A552F" w:rsidP="00E83BAD">
      <w:pPr>
        <w:ind w:firstLine="709"/>
        <w:jc w:val="both"/>
        <w:rPr>
          <w:color w:val="212121"/>
          <w:lang w:val="pt-PT"/>
        </w:rPr>
      </w:pPr>
      <w:r w:rsidRPr="00E83BAD">
        <w:rPr>
          <w:color w:val="212121"/>
          <w:lang w:val="pt-PT"/>
        </w:rPr>
        <w:t xml:space="preserve">Verificáveis – procurando evidencias não foi possível assegurar que </w:t>
      </w:r>
      <w:proofErr w:type="gramStart"/>
      <w:r w:rsidRPr="00E83BAD">
        <w:rPr>
          <w:color w:val="212121"/>
          <w:lang w:val="pt-PT"/>
        </w:rPr>
        <w:t>as informações evidencia</w:t>
      </w:r>
      <w:proofErr w:type="gramEnd"/>
      <w:r w:rsidRPr="00E83BAD">
        <w:rPr>
          <w:color w:val="212121"/>
          <w:lang w:val="pt-PT"/>
        </w:rPr>
        <w:t xml:space="preserve"> o que pretende representar, pois ninguém chegaria aqueles valores olhando a realidade.</w:t>
      </w:r>
    </w:p>
    <w:p w14:paraId="21F9CC13" w14:textId="77777777" w:rsidR="009A552F" w:rsidRPr="00E83BAD" w:rsidRDefault="009A552F" w:rsidP="00E83BAD">
      <w:pPr>
        <w:ind w:firstLine="709"/>
        <w:jc w:val="both"/>
        <w:rPr>
          <w:color w:val="212121"/>
          <w:lang w:val="pt-PT"/>
        </w:rPr>
      </w:pPr>
      <w:r w:rsidRPr="00E83BAD">
        <w:rPr>
          <w:color w:val="212121"/>
          <w:lang w:val="pt-PT"/>
        </w:rPr>
        <w:t>Fidedignas – fidelidade as transações e eventos que deseja representar. As informações nos projetos não são fidedignas, porque não refletem em nada a realidade que deveriam representar, nem em tempo, nem em espaço.</w:t>
      </w:r>
    </w:p>
    <w:p w14:paraId="0716B9D7" w14:textId="39DCD525" w:rsidR="009A552F" w:rsidRPr="00E83BAD" w:rsidRDefault="00FD585D" w:rsidP="00E83BAD">
      <w:pPr>
        <w:ind w:firstLine="709"/>
        <w:jc w:val="both"/>
        <w:rPr>
          <w:color w:val="212121"/>
          <w:lang w:val="pt-PT"/>
        </w:rPr>
      </w:pPr>
      <w:r>
        <w:rPr>
          <w:color w:val="212121"/>
          <w:lang w:val="pt-PT"/>
        </w:rPr>
        <w:t xml:space="preserve">Relevância – a capacidade de fazer diferença em uma decisão. As informações se mostraram enganosas, comprometendo totalmente o seu uso na tomada de decisão. </w:t>
      </w:r>
    </w:p>
    <w:p w14:paraId="0DE424C8" w14:textId="67E9C082" w:rsidR="009A552F" w:rsidRPr="00E83BAD" w:rsidRDefault="009A552F" w:rsidP="00E83BAD">
      <w:pPr>
        <w:ind w:firstLine="709"/>
        <w:jc w:val="both"/>
        <w:rPr>
          <w:color w:val="212121"/>
          <w:lang w:val="pt-PT"/>
        </w:rPr>
      </w:pPr>
      <w:r w:rsidRPr="00E83BAD">
        <w:rPr>
          <w:color w:val="212121"/>
          <w:lang w:val="pt-PT"/>
        </w:rPr>
        <w:t xml:space="preserve">Por outro lado, duas características que são atendidas são a uniformidade e </w:t>
      </w:r>
      <w:r w:rsidR="00FD585D">
        <w:rPr>
          <w:color w:val="212121"/>
          <w:lang w:val="pt-PT"/>
        </w:rPr>
        <w:t xml:space="preserve">a </w:t>
      </w:r>
      <w:r w:rsidRPr="00E83BAD">
        <w:rPr>
          <w:color w:val="212121"/>
          <w:lang w:val="pt-PT"/>
        </w:rPr>
        <w:t xml:space="preserve">consistência. </w:t>
      </w:r>
      <w:r w:rsidR="00FD585D">
        <w:rPr>
          <w:color w:val="212121"/>
          <w:lang w:val="pt-PT"/>
        </w:rPr>
        <w:t>Contudo</w:t>
      </w:r>
      <w:r w:rsidRPr="00E83BAD">
        <w:rPr>
          <w:color w:val="212121"/>
          <w:lang w:val="pt-PT"/>
        </w:rPr>
        <w:t xml:space="preserve">, isso parece ter sido mais a fonte de todos os problemas </w:t>
      </w:r>
      <w:r w:rsidR="00FD585D">
        <w:rPr>
          <w:color w:val="212121"/>
          <w:lang w:val="pt-PT"/>
        </w:rPr>
        <w:t xml:space="preserve">do </w:t>
      </w:r>
      <w:r w:rsidRPr="00E83BAD">
        <w:rPr>
          <w:color w:val="212121"/>
          <w:lang w:val="pt-PT"/>
        </w:rPr>
        <w:t>que uma vantagem.</w:t>
      </w:r>
    </w:p>
    <w:p w14:paraId="0463BE90" w14:textId="1D04513C" w:rsidR="009A552F" w:rsidRDefault="009A552F" w:rsidP="00E83BAD">
      <w:pPr>
        <w:ind w:firstLine="709"/>
        <w:jc w:val="both"/>
        <w:rPr>
          <w:color w:val="212121"/>
          <w:lang w:val="pt-PT"/>
        </w:rPr>
      </w:pPr>
    </w:p>
    <w:p w14:paraId="49AD2C5C" w14:textId="77777777" w:rsidR="0079285B" w:rsidRPr="00E83BAD" w:rsidRDefault="0079285B" w:rsidP="00E83BAD">
      <w:pPr>
        <w:ind w:firstLine="709"/>
        <w:jc w:val="both"/>
        <w:rPr>
          <w:color w:val="212121"/>
          <w:lang w:val="pt-PT"/>
        </w:rPr>
      </w:pPr>
    </w:p>
    <w:p w14:paraId="37EEB273" w14:textId="44CDBD33" w:rsidR="006200A5" w:rsidRDefault="009A552F" w:rsidP="006200A5">
      <w:pPr>
        <w:pStyle w:val="Heading2"/>
        <w:spacing w:before="0" w:line="240" w:lineRule="auto"/>
        <w:ind w:left="0" w:firstLine="709"/>
        <w:rPr>
          <w:szCs w:val="24"/>
        </w:rPr>
      </w:pPr>
      <w:r w:rsidRPr="00E83BAD">
        <w:rPr>
          <w:szCs w:val="24"/>
        </w:rPr>
        <w:t>C</w:t>
      </w:r>
      <w:r w:rsidR="006448C0" w:rsidRPr="00E83BAD">
        <w:rPr>
          <w:szCs w:val="24"/>
        </w:rPr>
        <w:t>ONSIDERAÇÕES FINAIS</w:t>
      </w:r>
    </w:p>
    <w:p w14:paraId="23E0317C" w14:textId="77777777" w:rsidR="0079285B" w:rsidRPr="0079285B" w:rsidRDefault="0079285B" w:rsidP="0079285B"/>
    <w:p w14:paraId="6496D1DD" w14:textId="0D8B33CA" w:rsidR="008A482C"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Este trabalho </w:t>
      </w:r>
      <w:r w:rsidR="00FD585D">
        <w:rPr>
          <w:rFonts w:ascii="Times New Roman" w:hAnsi="Times New Roman" w:cs="Times New Roman"/>
          <w:color w:val="212121"/>
          <w:sz w:val="24"/>
          <w:szCs w:val="24"/>
          <w:lang w:val="pt-PT"/>
        </w:rPr>
        <w:t xml:space="preserve">analisou a qualidade das informações oferecidas por proponentes de projetos de MDL como base para a análise da UNFCCC para aprovação de projetos de captação de recursos com base em resíduos animais. Como resultado, </w:t>
      </w:r>
      <w:r w:rsidRPr="00E83BAD">
        <w:rPr>
          <w:rFonts w:ascii="Times New Roman" w:hAnsi="Times New Roman" w:cs="Times New Roman"/>
          <w:color w:val="212121"/>
          <w:sz w:val="24"/>
          <w:szCs w:val="24"/>
          <w:lang w:val="pt-PT"/>
        </w:rPr>
        <w:t xml:space="preserve">identificou a padronização nos relatórios financeiros dos Projetos de </w:t>
      </w:r>
      <w:proofErr w:type="gramStart"/>
      <w:r w:rsidRPr="00E83BAD">
        <w:rPr>
          <w:rFonts w:ascii="Times New Roman" w:hAnsi="Times New Roman" w:cs="Times New Roman"/>
          <w:color w:val="212121"/>
          <w:sz w:val="24"/>
          <w:szCs w:val="24"/>
          <w:lang w:val="pt-PT"/>
        </w:rPr>
        <w:t>registrados</w:t>
      </w:r>
      <w:proofErr w:type="gramEnd"/>
      <w:r w:rsidRPr="00E83BAD">
        <w:rPr>
          <w:rFonts w:ascii="Times New Roman" w:hAnsi="Times New Roman" w:cs="Times New Roman"/>
          <w:color w:val="212121"/>
          <w:sz w:val="24"/>
          <w:szCs w:val="24"/>
          <w:lang w:val="pt-PT"/>
        </w:rPr>
        <w:t xml:space="preserve"> como um Mecanismo de Desenvolvimento Limpo na UNFCCC. As análises mostraram que essa padronização comprometeu a qualidade dos relatórios financeiros dos 37 projetos do Sistema de Gestão de Resíduos Animais analisados. </w:t>
      </w:r>
      <w:r w:rsidR="00B3183D" w:rsidRPr="00E83BAD">
        <w:rPr>
          <w:rFonts w:ascii="Times New Roman" w:hAnsi="Times New Roman" w:cs="Times New Roman"/>
          <w:color w:val="212121"/>
          <w:sz w:val="24"/>
          <w:szCs w:val="24"/>
          <w:lang w:val="pt-PT"/>
        </w:rPr>
        <w:t>Dessa forma, o objetivo dos relatórios, que era informar as peculiaridades de cada projeto e oferecer uma informação relevante para o usuário externo, não foi alcançado</w:t>
      </w:r>
      <w:r w:rsidR="008A482C" w:rsidRPr="00E83BAD">
        <w:rPr>
          <w:rFonts w:ascii="Times New Roman" w:hAnsi="Times New Roman" w:cs="Times New Roman"/>
          <w:color w:val="212121"/>
          <w:sz w:val="24"/>
          <w:szCs w:val="24"/>
          <w:lang w:val="pt-PT"/>
        </w:rPr>
        <w:t xml:space="preserve">. </w:t>
      </w:r>
      <w:r w:rsidR="00B3183D" w:rsidRPr="00E83BAD">
        <w:rPr>
          <w:rFonts w:ascii="Times New Roman" w:hAnsi="Times New Roman" w:cs="Times New Roman"/>
          <w:color w:val="212121"/>
          <w:sz w:val="24"/>
          <w:szCs w:val="24"/>
          <w:lang w:val="pt-PT"/>
        </w:rPr>
        <w:t>Os relatórios eram generalistas e similares o suficiente para não oferecer informações detalhadas e úteis o suficiente para servire</w:t>
      </w:r>
      <w:r w:rsidR="008A482C" w:rsidRPr="00E83BAD">
        <w:rPr>
          <w:rFonts w:ascii="Times New Roman" w:hAnsi="Times New Roman" w:cs="Times New Roman"/>
          <w:color w:val="212121"/>
          <w:sz w:val="24"/>
          <w:szCs w:val="24"/>
          <w:lang w:val="pt-PT"/>
        </w:rPr>
        <w:t>m de base no processo de tomada d</w:t>
      </w:r>
      <w:r w:rsidR="00B3183D" w:rsidRPr="00E83BAD">
        <w:rPr>
          <w:rFonts w:ascii="Times New Roman" w:hAnsi="Times New Roman" w:cs="Times New Roman"/>
          <w:color w:val="212121"/>
          <w:sz w:val="24"/>
          <w:szCs w:val="24"/>
          <w:lang w:val="pt-PT"/>
        </w:rPr>
        <w:t xml:space="preserve">e decisão desses usuários. </w:t>
      </w:r>
      <w:r w:rsidR="008A482C" w:rsidRPr="00E83BAD">
        <w:rPr>
          <w:rFonts w:ascii="Times New Roman" w:hAnsi="Times New Roman" w:cs="Times New Roman"/>
          <w:color w:val="212121"/>
          <w:sz w:val="24"/>
          <w:szCs w:val="24"/>
          <w:lang w:val="pt-PT"/>
        </w:rPr>
        <w:t xml:space="preserve">Essa é mais uma amostra da insuficiencia da gestão dos créditos de carbono que </w:t>
      </w:r>
      <w:r w:rsidR="00FD585D">
        <w:rPr>
          <w:rFonts w:ascii="Times New Roman" w:hAnsi="Times New Roman" w:cs="Times New Roman"/>
          <w:color w:val="212121"/>
          <w:sz w:val="24"/>
          <w:szCs w:val="24"/>
          <w:lang w:val="pt-PT"/>
        </w:rPr>
        <w:t>podem ter contribuído para</w:t>
      </w:r>
      <w:r w:rsidR="00FD585D" w:rsidRPr="00E83BAD">
        <w:rPr>
          <w:rFonts w:ascii="Times New Roman" w:hAnsi="Times New Roman" w:cs="Times New Roman"/>
          <w:color w:val="212121"/>
          <w:sz w:val="24"/>
          <w:szCs w:val="24"/>
          <w:lang w:val="pt-PT"/>
        </w:rPr>
        <w:t xml:space="preserve"> </w:t>
      </w:r>
      <w:r w:rsidR="008A482C" w:rsidRPr="00E83BAD">
        <w:rPr>
          <w:rFonts w:ascii="Times New Roman" w:hAnsi="Times New Roman" w:cs="Times New Roman"/>
          <w:color w:val="212121"/>
          <w:sz w:val="24"/>
          <w:szCs w:val="24"/>
          <w:lang w:val="pt-PT"/>
        </w:rPr>
        <w:t xml:space="preserve">o colapso do mercado. </w:t>
      </w:r>
    </w:p>
    <w:p w14:paraId="08FDF803" w14:textId="33956011" w:rsidR="00B3183D" w:rsidRPr="00E83BAD" w:rsidRDefault="008A482C"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De qualquer forma, considera-se que a ONU, como usuária externa, não cumpriu o seu papel de fiscalizadora de relatórios e garantidoras dos projetos. A função da ONU era de atestar uma qualidade mínima dos relatórios, porém de acordo com a análise </w:t>
      </w:r>
      <w:proofErr w:type="gramStart"/>
      <w:r w:rsidRPr="00E83BAD">
        <w:rPr>
          <w:rFonts w:ascii="Times New Roman" w:hAnsi="Times New Roman" w:cs="Times New Roman"/>
          <w:color w:val="212121"/>
          <w:sz w:val="24"/>
          <w:szCs w:val="24"/>
          <w:lang w:val="pt-PT"/>
        </w:rPr>
        <w:t>feita  tal</w:t>
      </w:r>
      <w:proofErr w:type="gramEnd"/>
      <w:r w:rsidRPr="00E83BAD">
        <w:rPr>
          <w:rFonts w:ascii="Times New Roman" w:hAnsi="Times New Roman" w:cs="Times New Roman"/>
          <w:color w:val="212121"/>
          <w:sz w:val="24"/>
          <w:szCs w:val="24"/>
          <w:lang w:val="pt-PT"/>
        </w:rPr>
        <w:t xml:space="preserve"> nível de qualidade não foi alcançado. </w:t>
      </w:r>
    </w:p>
    <w:p w14:paraId="1220392D" w14:textId="049345DE" w:rsidR="009A552F" w:rsidRPr="00E83BAD" w:rsidRDefault="009A552F" w:rsidP="00E83BAD">
      <w:pPr>
        <w:pStyle w:val="HTMLPreformatted"/>
        <w:shd w:val="clear" w:color="auto" w:fill="FFFFFF"/>
        <w:rPr>
          <w:rFonts w:ascii="Times New Roman" w:hAnsi="Times New Roman" w:cs="Times New Roman"/>
          <w:color w:val="212121"/>
          <w:sz w:val="24"/>
          <w:szCs w:val="24"/>
          <w:lang w:val="pt-PT"/>
        </w:rPr>
      </w:pPr>
      <w:r w:rsidRPr="00E83BAD">
        <w:rPr>
          <w:rFonts w:ascii="Times New Roman" w:hAnsi="Times New Roman" w:cs="Times New Roman"/>
          <w:color w:val="212121"/>
          <w:sz w:val="24"/>
          <w:szCs w:val="24"/>
          <w:lang w:val="pt-PT"/>
        </w:rPr>
        <w:t xml:space="preserve">A qualidade foi avaliada por meio da verificação dos elementos que compunham a análise financeira, tais como os valores de Valor Presente Líquido e a Taxa Interna de Retorno e a Taxa de desconto, e pela comparação das informações contidas </w:t>
      </w:r>
      <w:r w:rsidR="00983180">
        <w:rPr>
          <w:rFonts w:ascii="Times New Roman" w:hAnsi="Times New Roman" w:cs="Times New Roman"/>
          <w:color w:val="212121"/>
          <w:sz w:val="24"/>
          <w:szCs w:val="24"/>
          <w:lang w:val="pt-PT"/>
        </w:rPr>
        <w:t xml:space="preserve">tendo como </w:t>
      </w:r>
      <w:proofErr w:type="gramStart"/>
      <w:r w:rsidR="00983180">
        <w:rPr>
          <w:rFonts w:ascii="Times New Roman" w:hAnsi="Times New Roman" w:cs="Times New Roman"/>
          <w:color w:val="212121"/>
          <w:sz w:val="24"/>
          <w:szCs w:val="24"/>
          <w:lang w:val="pt-PT"/>
        </w:rPr>
        <w:t xml:space="preserve">base </w:t>
      </w:r>
      <w:r w:rsidRPr="00E83BAD">
        <w:rPr>
          <w:rFonts w:ascii="Times New Roman" w:hAnsi="Times New Roman" w:cs="Times New Roman"/>
          <w:color w:val="212121"/>
          <w:sz w:val="24"/>
          <w:szCs w:val="24"/>
          <w:lang w:val="pt-PT"/>
        </w:rPr>
        <w:t xml:space="preserve"> o</w:t>
      </w:r>
      <w:proofErr w:type="gramEnd"/>
      <w:r w:rsidRPr="00E83BAD">
        <w:rPr>
          <w:rFonts w:ascii="Times New Roman" w:hAnsi="Times New Roman" w:cs="Times New Roman"/>
          <w:color w:val="212121"/>
          <w:sz w:val="24"/>
          <w:szCs w:val="24"/>
          <w:lang w:val="pt-PT"/>
        </w:rPr>
        <w:t xml:space="preserve"> referencial conceitual da qualidade da informação divulgada. </w:t>
      </w:r>
    </w:p>
    <w:p w14:paraId="793E1BA8"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rPr>
        <w:t xml:space="preserve">Foi constatado que todos os Projetos de Gestão de Resíduos Animais foram elaborados por uma empresa especializada e contratada para tal. A </w:t>
      </w:r>
      <w:r w:rsidRPr="00E83BAD">
        <w:rPr>
          <w:rStyle w:val="apple-converted-space"/>
          <w:color w:val="222222"/>
          <w:shd w:val="clear" w:color="auto" w:fill="FFFFFF"/>
        </w:rPr>
        <w:t xml:space="preserve">Empresa </w:t>
      </w:r>
      <w:proofErr w:type="spellStart"/>
      <w:r w:rsidRPr="00E83BAD">
        <w:rPr>
          <w:rStyle w:val="apple-converted-space"/>
          <w:color w:val="222222"/>
          <w:shd w:val="clear" w:color="auto" w:fill="FFFFFF"/>
        </w:rPr>
        <w:t>AgCert</w:t>
      </w:r>
      <w:proofErr w:type="spellEnd"/>
      <w:r w:rsidRPr="00E83BAD">
        <w:rPr>
          <w:rStyle w:val="apple-converted-space"/>
          <w:color w:val="222222"/>
          <w:shd w:val="clear" w:color="auto" w:fill="FFFFFF"/>
        </w:rPr>
        <w:t xml:space="preserve"> foi escolhida pela UNFCCC </w:t>
      </w:r>
      <w:r w:rsidRPr="00E83BAD">
        <w:rPr>
          <w:rStyle w:val="apple-converted-space"/>
          <w:color w:val="222222"/>
          <w:shd w:val="clear" w:color="auto" w:fill="FFFFFF"/>
        </w:rPr>
        <w:lastRenderedPageBreak/>
        <w:t xml:space="preserve">para elaborar todos os projetos do tipo de Gestão de Resíduos Animais e, esse fato explica o porquê da padronização dos números financeiros utilizados nos projetos. </w:t>
      </w:r>
    </w:p>
    <w:p w14:paraId="5EB7F198"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Os resultados deste trabalho corroboram os de Bufoni e Ferreira (2016) sobre a má qualidade da informação nos projetos de MDL. No setor de resíduos animais, foi identificado que não há qualidade nos relatórios de acordo com a primeira análise, das premissas, ao analisar determinados pontos essenciais indicados por Assaf Neto (1992) e pelos pronunciamentos do FASB. </w:t>
      </w:r>
    </w:p>
    <w:p w14:paraId="51BC2DE8" w14:textId="4393E05B" w:rsidR="009A552F" w:rsidRPr="00E83BAD" w:rsidRDefault="009A552F" w:rsidP="00F94B09">
      <w:pPr>
        <w:pStyle w:val="HTMLPreformatted"/>
        <w:shd w:val="clear" w:color="auto" w:fill="FFFFFF"/>
        <w:rPr>
          <w:rFonts w:ascii="Times New Roman" w:hAnsi="Times New Roman"/>
          <w:color w:val="212121"/>
          <w:sz w:val="24"/>
          <w:szCs w:val="24"/>
          <w:lang w:val="pt-PT"/>
        </w:rPr>
      </w:pPr>
      <w:r w:rsidRPr="00E83BAD">
        <w:rPr>
          <w:rFonts w:ascii="Times New Roman" w:hAnsi="Times New Roman"/>
          <w:color w:val="212121"/>
          <w:sz w:val="24"/>
          <w:szCs w:val="24"/>
          <w:lang w:val="pt-PT"/>
        </w:rPr>
        <w:t>A extrema padronização, que ignora as diferentes situações e épocas em que os projetos foram executados, fez com que os indicadores fossem desprovidos de qualquer conexão com a realidade e as informações não fossem nem úteis, nem confiáveis.</w:t>
      </w:r>
      <w:r w:rsidR="00D9241C">
        <w:rPr>
          <w:rFonts w:ascii="Times New Roman" w:hAnsi="Times New Roman"/>
          <w:color w:val="212121"/>
          <w:sz w:val="24"/>
          <w:szCs w:val="24"/>
          <w:lang w:val="pt-PT"/>
        </w:rPr>
        <w:t xml:space="preserve"> </w:t>
      </w:r>
      <w:r w:rsidR="002E29DD">
        <w:rPr>
          <w:rFonts w:ascii="Times New Roman" w:hAnsi="Times New Roman"/>
          <w:color w:val="212121"/>
          <w:sz w:val="24"/>
          <w:szCs w:val="24"/>
          <w:lang w:val="pt-PT"/>
        </w:rPr>
        <w:t>Entende-se que isso ocorreu pela ausência de</w:t>
      </w:r>
      <w:r w:rsidR="0002453E">
        <w:rPr>
          <w:rFonts w:ascii="Times New Roman" w:hAnsi="Times New Roman"/>
          <w:color w:val="212121"/>
          <w:sz w:val="24"/>
          <w:szCs w:val="24"/>
          <w:lang w:val="pt-PT"/>
        </w:rPr>
        <w:t xml:space="preserve"> análise de sensibilidade </w:t>
      </w:r>
      <w:r w:rsidR="002E29DD">
        <w:rPr>
          <w:rFonts w:ascii="Times New Roman" w:hAnsi="Times New Roman"/>
          <w:color w:val="212121"/>
          <w:sz w:val="24"/>
          <w:szCs w:val="24"/>
          <w:lang w:val="pt-PT"/>
        </w:rPr>
        <w:t xml:space="preserve">nos projetos </w:t>
      </w:r>
      <w:r w:rsidR="0002453E">
        <w:rPr>
          <w:rFonts w:ascii="Times New Roman" w:hAnsi="Times New Roman"/>
          <w:color w:val="212121"/>
          <w:sz w:val="24"/>
          <w:szCs w:val="24"/>
          <w:lang w:val="pt-PT"/>
        </w:rPr>
        <w:t xml:space="preserve">para verificar </w:t>
      </w:r>
      <w:r w:rsidR="0002453E" w:rsidRPr="00F94B09">
        <w:rPr>
          <w:rFonts w:ascii="Times New Roman" w:hAnsi="Times New Roman" w:cs="Times New Roman"/>
          <w:color w:val="212121"/>
          <w:sz w:val="24"/>
          <w:szCs w:val="24"/>
        </w:rPr>
        <w:t>o custo do capital a ser considerado e a medida de benchmark a que estes indicadores deveriam ser comparados</w:t>
      </w:r>
      <w:r w:rsidR="0002453E">
        <w:rPr>
          <w:rFonts w:ascii="Times New Roman" w:hAnsi="Times New Roman" w:cs="Times New Roman"/>
          <w:color w:val="212121"/>
          <w:sz w:val="24"/>
          <w:szCs w:val="24"/>
        </w:rPr>
        <w:t xml:space="preserve">. </w:t>
      </w:r>
      <w:r w:rsidR="00D9241C">
        <w:rPr>
          <w:rFonts w:ascii="Times New Roman" w:hAnsi="Times New Roman"/>
          <w:color w:val="212121"/>
          <w:sz w:val="24"/>
          <w:szCs w:val="24"/>
          <w:lang w:val="pt-PT"/>
        </w:rPr>
        <w:t>Pode-se dizer também que a não adoção de diferentes cenários para esse tipo de análise fere as lições básicas de uma análise econômico financeira de projetos.</w:t>
      </w:r>
      <w:r w:rsidR="002E29DD">
        <w:rPr>
          <w:rFonts w:ascii="Times New Roman" w:hAnsi="Times New Roman"/>
          <w:color w:val="212121"/>
          <w:sz w:val="24"/>
          <w:szCs w:val="24"/>
          <w:lang w:val="pt-PT"/>
        </w:rPr>
        <w:t xml:space="preserve"> Esses pontos estão em desacordo com a própria metodologia sugerida pela</w:t>
      </w:r>
    </w:p>
    <w:p w14:paraId="3B3A0761"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12121"/>
          <w:lang w:val="pt-PT" w:eastAsia="pt-BR"/>
        </w:rPr>
      </w:pPr>
      <w:r w:rsidRPr="00E83BAD">
        <w:rPr>
          <w:color w:val="212121"/>
          <w:lang w:val="pt-PT" w:eastAsia="pt-BR"/>
        </w:rPr>
        <w:t xml:space="preserve">Foi analisado também e constatado que os projetos não consideraram os riscos inerentes aos projetos de MDL, os quais são estritamente relacionados ao mercado de carbono. Foram estimadas receitas constantes e tomando como base os preços iniciais. Foi possível verificar que tais projetos não consideraram a baixa do mercado de carbono, não incorporando os riscos que esse mercado poderia impactar nos resultados da execução dos projetos. </w:t>
      </w:r>
    </w:p>
    <w:p w14:paraId="3C39F5DF" w14:textId="615F19AF"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E83BAD">
        <w:rPr>
          <w:color w:val="000000"/>
        </w:rPr>
        <w:t xml:space="preserve">Deve-se considerar então, que os resultados de certa forma corroboram com o </w:t>
      </w:r>
      <w:r w:rsidR="00D9241C">
        <w:rPr>
          <w:color w:val="000000"/>
        </w:rPr>
        <w:t>motivo</w:t>
      </w:r>
      <w:r w:rsidR="00D9241C" w:rsidRPr="00E83BAD">
        <w:rPr>
          <w:color w:val="000000"/>
        </w:rPr>
        <w:t xml:space="preserve"> </w:t>
      </w:r>
      <w:r w:rsidRPr="00E83BAD">
        <w:rPr>
          <w:color w:val="000000"/>
        </w:rPr>
        <w:t xml:space="preserve">do porquê </w:t>
      </w:r>
      <w:proofErr w:type="gramStart"/>
      <w:r w:rsidRPr="00E83BAD">
        <w:rPr>
          <w:color w:val="000000"/>
        </w:rPr>
        <w:t>a</w:t>
      </w:r>
      <w:proofErr w:type="gramEnd"/>
      <w:r w:rsidRPr="00E83BAD">
        <w:rPr>
          <w:color w:val="000000"/>
        </w:rPr>
        <w:t xml:space="preserve"> empresa </w:t>
      </w:r>
      <w:proofErr w:type="spellStart"/>
      <w:r w:rsidRPr="00E83BAD">
        <w:rPr>
          <w:color w:val="000000"/>
        </w:rPr>
        <w:t>AgCert</w:t>
      </w:r>
      <w:proofErr w:type="spellEnd"/>
      <w:r w:rsidRPr="00E83BAD">
        <w:rPr>
          <w:color w:val="000000"/>
        </w:rPr>
        <w:t xml:space="preserve"> </w:t>
      </w:r>
      <w:r w:rsidR="00D9241C">
        <w:rPr>
          <w:color w:val="000000"/>
        </w:rPr>
        <w:t>ter iniciado seu</w:t>
      </w:r>
      <w:r w:rsidRPr="00E83BAD">
        <w:rPr>
          <w:color w:val="000000"/>
        </w:rPr>
        <w:t xml:space="preserve"> processo de falência em 2007. </w:t>
      </w:r>
      <w:r w:rsidR="00D9241C">
        <w:rPr>
          <w:color w:val="000000"/>
        </w:rPr>
        <w:t>Ressalta-se ainda a questão: s</w:t>
      </w:r>
      <w:r w:rsidRPr="00E83BAD">
        <w:rPr>
          <w:color w:val="000000"/>
        </w:rPr>
        <w:t>e os projetos não foram bem elaborados, e foi encontrada uma má qualidade das informações financeiras, como conseguiram ser registrados na ONU?</w:t>
      </w:r>
    </w:p>
    <w:p w14:paraId="169A397E"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E83BAD">
        <w:rPr>
          <w:color w:val="000000"/>
        </w:rPr>
        <w:t xml:space="preserve">Como considerações finais, fica evidente a necessidade de relatórios financeiros que tenham bases econômicas confiáveis, pois, assim, poderia ser evitada a falência da empresa </w:t>
      </w:r>
      <w:proofErr w:type="spellStart"/>
      <w:r w:rsidRPr="00E83BAD">
        <w:rPr>
          <w:color w:val="000000"/>
        </w:rPr>
        <w:t>AgCert</w:t>
      </w:r>
      <w:proofErr w:type="spellEnd"/>
      <w:r w:rsidRPr="00E83BAD">
        <w:rPr>
          <w:color w:val="000000"/>
        </w:rPr>
        <w:t xml:space="preserve"> e de toda </w:t>
      </w:r>
      <w:proofErr w:type="gramStart"/>
      <w:r w:rsidRPr="00E83BAD">
        <w:rPr>
          <w:color w:val="000000"/>
        </w:rPr>
        <w:t>a</w:t>
      </w:r>
      <w:proofErr w:type="gramEnd"/>
      <w:r w:rsidRPr="00E83BAD">
        <w:rPr>
          <w:color w:val="000000"/>
        </w:rPr>
        <w:t xml:space="preserve"> estrutura montada e envolvida nos projetos de Mecanismos de Desenvolvimento Limpo. Deve-se considerar, que foram analisados os projetos de Gerenciamento de Resíduos Animais e, portanto, ainda há relatórios financeiros de projetos que utilizaram outras formas de gerenciamento de resíduos que também podem ser analisados. E, por fim, deve-se verificar qual o grau de envolvimento e avaliação da ONU com relação a todos os projetos que são desenvolvidos com o intuito de servirem como Mecanismos de Desenvolvimento Limpo e se as necessidades de investimentos nesses projetos levaram à negligência da Agência em avaliá-los.</w:t>
      </w:r>
    </w:p>
    <w:p w14:paraId="359C4335" w14:textId="77777777" w:rsidR="009A552F" w:rsidRPr="00E83BAD" w:rsidRDefault="009A552F" w:rsidP="00E8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14:paraId="0DC30B97" w14:textId="5356B93E" w:rsidR="006200A5" w:rsidRDefault="009A552F" w:rsidP="006200A5">
      <w:pPr>
        <w:pStyle w:val="Heading2"/>
        <w:widowControl w:val="0"/>
        <w:autoSpaceDE w:val="0"/>
        <w:autoSpaceDN w:val="0"/>
        <w:adjustRightInd w:val="0"/>
        <w:spacing w:before="0" w:line="240" w:lineRule="auto"/>
        <w:ind w:left="0" w:firstLine="709"/>
        <w:rPr>
          <w:szCs w:val="24"/>
        </w:rPr>
      </w:pPr>
      <w:r w:rsidRPr="002C7F46">
        <w:rPr>
          <w:szCs w:val="24"/>
        </w:rPr>
        <w:t>R</w:t>
      </w:r>
      <w:r w:rsidR="006448C0" w:rsidRPr="002C7F46">
        <w:rPr>
          <w:szCs w:val="24"/>
        </w:rPr>
        <w:t>EFERÊNCIAS</w:t>
      </w:r>
    </w:p>
    <w:p w14:paraId="410D692C" w14:textId="77777777" w:rsidR="0079285B" w:rsidRPr="0079285B" w:rsidRDefault="0079285B" w:rsidP="0079285B"/>
    <w:p w14:paraId="78F73BC9" w14:textId="7CFB560C" w:rsidR="009A552F" w:rsidRDefault="009A552F" w:rsidP="00274E89">
      <w:pPr>
        <w:widowControl w:val="0"/>
        <w:autoSpaceDE w:val="0"/>
        <w:autoSpaceDN w:val="0"/>
        <w:adjustRightInd w:val="0"/>
        <w:jc w:val="both"/>
        <w:rPr>
          <w:shd w:val="clear" w:color="auto" w:fill="FFFFFF"/>
        </w:rPr>
      </w:pPr>
      <w:r w:rsidRPr="00E83BAD">
        <w:fldChar w:fldCharType="begin" w:fldLock="1"/>
      </w:r>
      <w:r w:rsidRPr="00E83BAD">
        <w:instrText xml:space="preserve">ADDIN Mendeley Bibliography CSL_BIBLIOGRAPHY </w:instrText>
      </w:r>
      <w:r w:rsidRPr="00E83BAD">
        <w:fldChar w:fldCharType="separate"/>
      </w:r>
      <w:r w:rsidR="006200A5" w:rsidRPr="00E83BAD">
        <w:rPr>
          <w:noProof/>
        </w:rPr>
        <w:t>A</w:t>
      </w:r>
      <w:r w:rsidR="00182162">
        <w:rPr>
          <w:noProof/>
        </w:rPr>
        <w:t>G</w:t>
      </w:r>
      <w:r w:rsidR="006200A5" w:rsidRPr="00E83BAD">
        <w:rPr>
          <w:noProof/>
        </w:rPr>
        <w:t>C</w:t>
      </w:r>
      <w:r w:rsidR="00182162">
        <w:rPr>
          <w:noProof/>
        </w:rPr>
        <w:t>ERT</w:t>
      </w:r>
      <w:r w:rsidR="008E2C21" w:rsidRPr="00E83BAD">
        <w:rPr>
          <w:noProof/>
        </w:rPr>
        <w:t>.</w:t>
      </w:r>
      <w:r w:rsidR="008B4318">
        <w:rPr>
          <w:noProof/>
        </w:rPr>
        <w:t xml:space="preserve"> </w:t>
      </w:r>
      <w:r w:rsidRPr="00E83BAD">
        <w:rPr>
          <w:noProof/>
        </w:rPr>
        <w:t xml:space="preserve">About </w:t>
      </w:r>
      <w:r w:rsidR="008B4318">
        <w:rPr>
          <w:noProof/>
        </w:rPr>
        <w:t>Us</w:t>
      </w:r>
      <w:r w:rsidRPr="00E83BAD">
        <w:rPr>
          <w:noProof/>
        </w:rPr>
        <w:t>.</w:t>
      </w:r>
      <w:r w:rsidR="008E2C21" w:rsidRPr="00E83BAD">
        <w:rPr>
          <w:noProof/>
        </w:rPr>
        <w:t xml:space="preserve"> </w:t>
      </w:r>
      <w:r w:rsidR="008B4318">
        <w:rPr>
          <w:noProof/>
        </w:rPr>
        <w:t xml:space="preserve">AgCert, Dublin, </w:t>
      </w:r>
      <w:r w:rsidR="00321CB2">
        <w:rPr>
          <w:noProof/>
        </w:rPr>
        <w:t xml:space="preserve">26 de jun. 2020. </w:t>
      </w:r>
      <w:r w:rsidR="008B4318">
        <w:rPr>
          <w:noProof/>
        </w:rPr>
        <w:t>Disponivel em</w:t>
      </w:r>
      <w:r w:rsidR="008E2C21" w:rsidRPr="00E83BAD">
        <w:rPr>
          <w:noProof/>
        </w:rPr>
        <w:t xml:space="preserve">: </w:t>
      </w:r>
      <w:r w:rsidR="008E2C21" w:rsidRPr="002C7F46">
        <w:rPr>
          <w:shd w:val="clear" w:color="auto" w:fill="FFFFFF"/>
        </w:rPr>
        <w:t>http://www.agcert.com/about.</w:t>
      </w:r>
      <w:r w:rsidR="00321CB2">
        <w:rPr>
          <w:shd w:val="clear" w:color="auto" w:fill="FFFFFF"/>
        </w:rPr>
        <w:t xml:space="preserve"> </w:t>
      </w:r>
      <w:proofErr w:type="spellStart"/>
      <w:r w:rsidR="00321CB2">
        <w:rPr>
          <w:shd w:val="clear" w:color="auto" w:fill="FFFFFF"/>
        </w:rPr>
        <w:t>Acesso</w:t>
      </w:r>
      <w:proofErr w:type="spellEnd"/>
      <w:r w:rsidR="00321CB2">
        <w:rPr>
          <w:shd w:val="clear" w:color="auto" w:fill="FFFFFF"/>
        </w:rPr>
        <w:t xml:space="preserve"> </w:t>
      </w:r>
      <w:proofErr w:type="spellStart"/>
      <w:r w:rsidR="00321CB2">
        <w:rPr>
          <w:shd w:val="clear" w:color="auto" w:fill="FFFFFF"/>
        </w:rPr>
        <w:t>em</w:t>
      </w:r>
      <w:proofErr w:type="spellEnd"/>
      <w:r w:rsidR="00321CB2">
        <w:rPr>
          <w:shd w:val="clear" w:color="auto" w:fill="FFFFFF"/>
        </w:rPr>
        <w:t>: 26 de jun. de 2020.</w:t>
      </w:r>
    </w:p>
    <w:p w14:paraId="2BCBB38D" w14:textId="77777777" w:rsidR="006200A5" w:rsidRPr="00E83BAD" w:rsidRDefault="006200A5" w:rsidP="00A11E67">
      <w:pPr>
        <w:widowControl w:val="0"/>
        <w:autoSpaceDE w:val="0"/>
        <w:autoSpaceDN w:val="0"/>
        <w:adjustRightInd w:val="0"/>
        <w:jc w:val="both"/>
        <w:rPr>
          <w:noProof/>
        </w:rPr>
      </w:pPr>
    </w:p>
    <w:p w14:paraId="3FBD986A" w14:textId="3D6C12EF" w:rsidR="009A552F" w:rsidRPr="00A11E67" w:rsidRDefault="008B4318" w:rsidP="00A11E67">
      <w:pPr>
        <w:jc w:val="both"/>
      </w:pPr>
      <w:r w:rsidRPr="00A11E67">
        <w:rPr>
          <w:color w:val="222222"/>
          <w:shd w:val="clear" w:color="auto" w:fill="FFFFFF"/>
        </w:rPr>
        <w:t>ALLESCH, Astrid; BRUNNER, Paul H. Assessment methods for solid waste management: A literature review. </w:t>
      </w:r>
      <w:r w:rsidRPr="00A11E67">
        <w:rPr>
          <w:b/>
          <w:bCs/>
          <w:color w:val="222222"/>
        </w:rPr>
        <w:t>Waste Management &amp; Research</w:t>
      </w:r>
      <w:r w:rsidRPr="00A11E67">
        <w:rPr>
          <w:color w:val="222222"/>
          <w:shd w:val="clear" w:color="auto" w:fill="FFFFFF"/>
        </w:rPr>
        <w:t>, v. 32, n. 6, p. 461-473, 2014.</w:t>
      </w:r>
      <w:r>
        <w:t xml:space="preserve"> </w:t>
      </w:r>
      <w:r w:rsidR="009A552F" w:rsidRPr="00E83BAD">
        <w:rPr>
          <w:noProof/>
        </w:rPr>
        <w:t>doi</w:t>
      </w:r>
      <w:r w:rsidR="008E2C21" w:rsidRPr="00E83BAD">
        <w:rPr>
          <w:noProof/>
        </w:rPr>
        <w:t>:</w:t>
      </w:r>
      <w:r w:rsidR="009A552F" w:rsidRPr="00E83BAD">
        <w:rPr>
          <w:noProof/>
        </w:rPr>
        <w:t>10.1177/0734242X14535653</w:t>
      </w:r>
      <w:r w:rsidR="008E2C21" w:rsidRPr="00E83BAD">
        <w:rPr>
          <w:noProof/>
        </w:rPr>
        <w:t>.</w:t>
      </w:r>
    </w:p>
    <w:p w14:paraId="54FDF621" w14:textId="77777777" w:rsidR="006200A5" w:rsidRPr="00A11E67" w:rsidRDefault="006200A5" w:rsidP="00274E89">
      <w:pPr>
        <w:widowControl w:val="0"/>
        <w:autoSpaceDE w:val="0"/>
        <w:autoSpaceDN w:val="0"/>
        <w:adjustRightInd w:val="0"/>
        <w:jc w:val="both"/>
        <w:rPr>
          <w:noProof/>
        </w:rPr>
      </w:pPr>
    </w:p>
    <w:p w14:paraId="34433AD5" w14:textId="761F1FAE" w:rsidR="008B4318" w:rsidRPr="008B4318" w:rsidRDefault="008B4318" w:rsidP="00A11E67">
      <w:pPr>
        <w:jc w:val="both"/>
      </w:pPr>
      <w:r w:rsidRPr="00A11E67">
        <w:rPr>
          <w:color w:val="222222"/>
          <w:shd w:val="clear" w:color="auto" w:fill="FFFFFF"/>
        </w:rPr>
        <w:t xml:space="preserve">BARTL, Andreas. Barriers towards achieving a </w:t>
      </w:r>
      <w:r w:rsidR="009633DA" w:rsidRPr="009633DA">
        <w:rPr>
          <w:color w:val="222222"/>
          <w:shd w:val="clear" w:color="auto" w:fill="FFFFFF"/>
        </w:rPr>
        <w:t>zero-waste</w:t>
      </w:r>
      <w:r w:rsidRPr="00A11E67">
        <w:rPr>
          <w:color w:val="222222"/>
          <w:shd w:val="clear" w:color="auto" w:fill="FFFFFF"/>
        </w:rPr>
        <w:t xml:space="preserve"> society. </w:t>
      </w:r>
      <w:r w:rsidRPr="00A11E67">
        <w:rPr>
          <w:b/>
          <w:bCs/>
          <w:color w:val="222222"/>
        </w:rPr>
        <w:t>Waste management</w:t>
      </w:r>
      <w:r w:rsidRPr="00A11E67">
        <w:rPr>
          <w:color w:val="222222"/>
          <w:shd w:val="clear" w:color="auto" w:fill="FFFFFF"/>
        </w:rPr>
        <w:t>, v. 12, n. 31, p. 2369-2370, 2011.</w:t>
      </w:r>
    </w:p>
    <w:p w14:paraId="59593538" w14:textId="77777777" w:rsidR="006200A5" w:rsidRPr="00E83BAD" w:rsidRDefault="006200A5" w:rsidP="00437973">
      <w:pPr>
        <w:widowControl w:val="0"/>
        <w:autoSpaceDE w:val="0"/>
        <w:autoSpaceDN w:val="0"/>
        <w:adjustRightInd w:val="0"/>
        <w:jc w:val="both"/>
        <w:rPr>
          <w:noProof/>
        </w:rPr>
      </w:pPr>
    </w:p>
    <w:p w14:paraId="229B6DA1" w14:textId="46EB0A19" w:rsidR="009A552F" w:rsidRPr="00A11E67" w:rsidRDefault="00321CB2" w:rsidP="00A11E67">
      <w:pPr>
        <w:jc w:val="both"/>
      </w:pPr>
      <w:r w:rsidRPr="00A11E67">
        <w:rPr>
          <w:color w:val="222222"/>
          <w:shd w:val="clear" w:color="auto" w:fill="FFFFFF"/>
        </w:rPr>
        <w:t>BARTL, Andreas. Moving from recycling to waste prevention: A review of barriers and enables. </w:t>
      </w:r>
      <w:r w:rsidRPr="00A11E67">
        <w:rPr>
          <w:b/>
          <w:bCs/>
          <w:color w:val="222222"/>
        </w:rPr>
        <w:t>Waste Management &amp; Research</w:t>
      </w:r>
      <w:r w:rsidRPr="00A11E67">
        <w:rPr>
          <w:color w:val="222222"/>
          <w:shd w:val="clear" w:color="auto" w:fill="FFFFFF"/>
        </w:rPr>
        <w:t>, v. 32, n. 9_suppl, p. 3-18, 2014.</w:t>
      </w:r>
      <w:r>
        <w:t xml:space="preserve"> </w:t>
      </w:r>
      <w:r w:rsidR="009A552F" w:rsidRPr="00E83BAD">
        <w:rPr>
          <w:noProof/>
        </w:rPr>
        <w:t>doi</w:t>
      </w:r>
      <w:r w:rsidR="008E2C21" w:rsidRPr="00E83BAD">
        <w:rPr>
          <w:noProof/>
        </w:rPr>
        <w:t>:</w:t>
      </w:r>
      <w:r w:rsidR="009A552F" w:rsidRPr="00E83BAD">
        <w:rPr>
          <w:noProof/>
        </w:rPr>
        <w:t>10.1177/0734242X14541986.</w:t>
      </w:r>
    </w:p>
    <w:p w14:paraId="2AB756E1" w14:textId="77777777" w:rsidR="006200A5" w:rsidRPr="00E83BAD" w:rsidRDefault="006200A5" w:rsidP="00274E89">
      <w:pPr>
        <w:widowControl w:val="0"/>
        <w:autoSpaceDE w:val="0"/>
        <w:autoSpaceDN w:val="0"/>
        <w:adjustRightInd w:val="0"/>
        <w:jc w:val="both"/>
        <w:rPr>
          <w:noProof/>
        </w:rPr>
      </w:pPr>
    </w:p>
    <w:p w14:paraId="3FC9902E" w14:textId="37CD58B2" w:rsidR="009A552F" w:rsidRPr="00A11E67" w:rsidRDefault="00321CB2" w:rsidP="00A11E67">
      <w:pPr>
        <w:jc w:val="both"/>
      </w:pPr>
      <w:r w:rsidRPr="00A11E67">
        <w:rPr>
          <w:color w:val="222222"/>
          <w:shd w:val="clear" w:color="auto" w:fill="FFFFFF"/>
        </w:rPr>
        <w:t xml:space="preserve">BARTON, J. R.; ISSAIAS, I.; STENTIFORD, EDWARD I. </w:t>
      </w:r>
      <w:r w:rsidR="00270EEC" w:rsidRPr="00270EEC">
        <w:rPr>
          <w:color w:val="222222"/>
          <w:shd w:val="clear" w:color="auto" w:fill="FFFFFF"/>
        </w:rPr>
        <w:t xml:space="preserve">Carbon–Making </w:t>
      </w:r>
      <w:proofErr w:type="gramStart"/>
      <w:r w:rsidR="00270EEC" w:rsidRPr="00270EEC">
        <w:rPr>
          <w:color w:val="222222"/>
          <w:shd w:val="clear" w:color="auto" w:fill="FFFFFF"/>
        </w:rPr>
        <w:t>The</w:t>
      </w:r>
      <w:proofErr w:type="gramEnd"/>
      <w:r w:rsidR="00270EEC" w:rsidRPr="00270EEC">
        <w:rPr>
          <w:color w:val="222222"/>
          <w:shd w:val="clear" w:color="auto" w:fill="FFFFFF"/>
        </w:rPr>
        <w:t xml:space="preserve"> Right Choice For Waste Management In Developing Countries. </w:t>
      </w:r>
      <w:r w:rsidR="00270EEC" w:rsidRPr="00270EEC">
        <w:rPr>
          <w:b/>
          <w:bCs/>
          <w:color w:val="222222"/>
        </w:rPr>
        <w:t>Waste Management</w:t>
      </w:r>
      <w:r w:rsidRPr="00A11E67">
        <w:rPr>
          <w:color w:val="222222"/>
          <w:shd w:val="clear" w:color="auto" w:fill="FFFFFF"/>
        </w:rPr>
        <w:t>, V. 28, N. 4, P. 690-698, 2008.</w:t>
      </w:r>
      <w:r>
        <w:t xml:space="preserve"> </w:t>
      </w:r>
      <w:r w:rsidR="009A552F" w:rsidRPr="00E83BAD">
        <w:rPr>
          <w:noProof/>
        </w:rPr>
        <w:t>doi</w:t>
      </w:r>
      <w:r w:rsidR="008E2C21" w:rsidRPr="00E83BAD">
        <w:rPr>
          <w:noProof/>
        </w:rPr>
        <w:t>:</w:t>
      </w:r>
      <w:r w:rsidR="009A552F" w:rsidRPr="00E83BAD">
        <w:rPr>
          <w:noProof/>
        </w:rPr>
        <w:t>10.1016/j.wasman.2007.09.033.</w:t>
      </w:r>
    </w:p>
    <w:p w14:paraId="73436F97" w14:textId="77777777" w:rsidR="006200A5" w:rsidRPr="00E83BAD" w:rsidRDefault="006200A5" w:rsidP="00274E89">
      <w:pPr>
        <w:widowControl w:val="0"/>
        <w:autoSpaceDE w:val="0"/>
        <w:autoSpaceDN w:val="0"/>
        <w:adjustRightInd w:val="0"/>
        <w:jc w:val="both"/>
        <w:rPr>
          <w:noProof/>
        </w:rPr>
      </w:pPr>
    </w:p>
    <w:p w14:paraId="32AD149F" w14:textId="5994740B" w:rsidR="009A552F" w:rsidRDefault="006200A5" w:rsidP="00274E89">
      <w:pPr>
        <w:widowControl w:val="0"/>
        <w:autoSpaceDE w:val="0"/>
        <w:autoSpaceDN w:val="0"/>
        <w:adjustRightInd w:val="0"/>
        <w:jc w:val="both"/>
        <w:rPr>
          <w:noProof/>
        </w:rPr>
      </w:pPr>
      <w:r w:rsidRPr="00E83BAD">
        <w:rPr>
          <w:noProof/>
        </w:rPr>
        <w:lastRenderedPageBreak/>
        <w:t>BAUMOL, W.</w:t>
      </w:r>
      <w:r w:rsidR="00534743">
        <w:rPr>
          <w:noProof/>
        </w:rPr>
        <w:t>;</w:t>
      </w:r>
      <w:r w:rsidRPr="00E83BAD">
        <w:rPr>
          <w:noProof/>
        </w:rPr>
        <w:t xml:space="preserve"> OATS, W. </w:t>
      </w:r>
      <w:r w:rsidR="009A552F" w:rsidRPr="00E83BAD">
        <w:rPr>
          <w:noProof/>
        </w:rPr>
        <w:t xml:space="preserve">(1988). </w:t>
      </w:r>
      <w:r w:rsidR="009A552F" w:rsidRPr="00A11E67">
        <w:rPr>
          <w:b/>
          <w:bCs/>
          <w:noProof/>
        </w:rPr>
        <w:t>The Theory of Environmental Policy</w:t>
      </w:r>
      <w:r w:rsidR="00534743">
        <w:rPr>
          <w:noProof/>
        </w:rPr>
        <w:t>. 2. ed.</w:t>
      </w:r>
      <w:r w:rsidR="009A552F" w:rsidRPr="00E83BAD">
        <w:rPr>
          <w:noProof/>
        </w:rPr>
        <w:t xml:space="preserve"> </w:t>
      </w:r>
      <w:r w:rsidR="009A552F" w:rsidRPr="002C7F46">
        <w:rPr>
          <w:noProof/>
        </w:rPr>
        <w:t>Cambridge</w:t>
      </w:r>
      <w:r w:rsidR="00534743">
        <w:rPr>
          <w:noProof/>
        </w:rPr>
        <w:t>: Cambri</w:t>
      </w:r>
      <w:r w:rsidR="00270EEC">
        <w:rPr>
          <w:noProof/>
        </w:rPr>
        <w:t>dge</w:t>
      </w:r>
      <w:r w:rsidR="009A552F" w:rsidRPr="002C7F46">
        <w:rPr>
          <w:noProof/>
        </w:rPr>
        <w:t xml:space="preserve"> University Press</w:t>
      </w:r>
      <w:r w:rsidR="00270EEC">
        <w:rPr>
          <w:noProof/>
        </w:rPr>
        <w:t>, 1988</w:t>
      </w:r>
      <w:r w:rsidR="009A552F" w:rsidRPr="002C7F46">
        <w:rPr>
          <w:noProof/>
        </w:rPr>
        <w:t>. doi</w:t>
      </w:r>
      <w:r w:rsidR="008E2C21" w:rsidRPr="002C7F46">
        <w:rPr>
          <w:noProof/>
        </w:rPr>
        <w:t>:</w:t>
      </w:r>
      <w:r w:rsidR="009A552F" w:rsidRPr="002C7F46">
        <w:rPr>
          <w:noProof/>
        </w:rPr>
        <w:t>10.1017/CBO9781139173513.</w:t>
      </w:r>
    </w:p>
    <w:p w14:paraId="58A3CE06" w14:textId="77777777" w:rsidR="006200A5" w:rsidRPr="002C7F46" w:rsidRDefault="006200A5" w:rsidP="00A11E67">
      <w:pPr>
        <w:widowControl w:val="0"/>
        <w:autoSpaceDE w:val="0"/>
        <w:autoSpaceDN w:val="0"/>
        <w:adjustRightInd w:val="0"/>
        <w:jc w:val="both"/>
        <w:rPr>
          <w:noProof/>
        </w:rPr>
      </w:pPr>
    </w:p>
    <w:p w14:paraId="3AE6A242" w14:textId="5727AC5E" w:rsidR="00270EEC" w:rsidRPr="00270EEC" w:rsidRDefault="00270EEC" w:rsidP="00A11E67">
      <w:pPr>
        <w:jc w:val="both"/>
      </w:pPr>
      <w:r w:rsidRPr="00A11E67">
        <w:rPr>
          <w:color w:val="222222"/>
          <w:shd w:val="clear" w:color="auto" w:fill="FFFFFF"/>
        </w:rPr>
        <w:t>BUFONI, A</w:t>
      </w:r>
      <w:r>
        <w:rPr>
          <w:color w:val="222222"/>
          <w:shd w:val="clear" w:color="auto" w:fill="FFFFFF"/>
        </w:rPr>
        <w:t>.</w:t>
      </w:r>
      <w:r w:rsidRPr="00A11E67">
        <w:rPr>
          <w:color w:val="222222"/>
          <w:shd w:val="clear" w:color="auto" w:fill="FFFFFF"/>
        </w:rPr>
        <w:t xml:space="preserve"> </w:t>
      </w:r>
      <w:r>
        <w:rPr>
          <w:color w:val="222222"/>
          <w:shd w:val="clear" w:color="auto" w:fill="FFFFFF"/>
        </w:rPr>
        <w:t>L.</w:t>
      </w:r>
      <w:r w:rsidRPr="00A11E67">
        <w:rPr>
          <w:color w:val="222222"/>
          <w:shd w:val="clear" w:color="auto" w:fill="FFFFFF"/>
        </w:rPr>
        <w:t xml:space="preserve">; FERREIRA, </w:t>
      </w:r>
      <w:proofErr w:type="spellStart"/>
      <w:r w:rsidRPr="00A11E67">
        <w:rPr>
          <w:color w:val="222222"/>
          <w:shd w:val="clear" w:color="auto" w:fill="FFFFFF"/>
        </w:rPr>
        <w:t>A</w:t>
      </w:r>
      <w:r>
        <w:rPr>
          <w:color w:val="222222"/>
          <w:shd w:val="clear" w:color="auto" w:fill="FFFFFF"/>
        </w:rPr>
        <w:t>.</w:t>
      </w:r>
      <w:r w:rsidRPr="00A11E67">
        <w:rPr>
          <w:color w:val="222222"/>
          <w:shd w:val="clear" w:color="auto" w:fill="FFFFFF"/>
        </w:rPr>
        <w:t xml:space="preserve"> </w:t>
      </w:r>
      <w:proofErr w:type="spellEnd"/>
      <w:r w:rsidRPr="00A11E67">
        <w:rPr>
          <w:color w:val="222222"/>
          <w:shd w:val="clear" w:color="auto" w:fill="FFFFFF"/>
        </w:rPr>
        <w:t>C</w:t>
      </w:r>
      <w:r>
        <w:rPr>
          <w:color w:val="222222"/>
          <w:shd w:val="clear" w:color="auto" w:fill="FFFFFF"/>
        </w:rPr>
        <w:t>.</w:t>
      </w:r>
      <w:r w:rsidRPr="00A11E67">
        <w:rPr>
          <w:color w:val="222222"/>
          <w:shd w:val="clear" w:color="auto" w:fill="FFFFFF"/>
        </w:rPr>
        <w:t xml:space="preserve"> S</w:t>
      </w:r>
      <w:r>
        <w:rPr>
          <w:color w:val="222222"/>
          <w:shd w:val="clear" w:color="auto" w:fill="FFFFFF"/>
        </w:rPr>
        <w:t>.</w:t>
      </w:r>
      <w:r w:rsidRPr="00A11E67">
        <w:rPr>
          <w:color w:val="222222"/>
          <w:shd w:val="clear" w:color="auto" w:fill="FFFFFF"/>
        </w:rPr>
        <w:t>; OLIVEIRA, L</w:t>
      </w:r>
      <w:r>
        <w:rPr>
          <w:color w:val="222222"/>
          <w:shd w:val="clear" w:color="auto" w:fill="FFFFFF"/>
        </w:rPr>
        <w:t>.</w:t>
      </w:r>
      <w:r w:rsidRPr="00A11E67">
        <w:rPr>
          <w:color w:val="222222"/>
          <w:shd w:val="clear" w:color="auto" w:fill="FFFFFF"/>
        </w:rPr>
        <w:t xml:space="preserve"> B. The </w:t>
      </w:r>
      <w:r w:rsidRPr="00270EEC">
        <w:rPr>
          <w:color w:val="222222"/>
          <w:shd w:val="clear" w:color="auto" w:fill="FFFFFF"/>
        </w:rPr>
        <w:t xml:space="preserve">Quality </w:t>
      </w:r>
      <w:r>
        <w:rPr>
          <w:color w:val="222222"/>
          <w:shd w:val="clear" w:color="auto" w:fill="FFFFFF"/>
        </w:rPr>
        <w:t>o</w:t>
      </w:r>
      <w:r w:rsidRPr="00270EEC">
        <w:rPr>
          <w:color w:val="222222"/>
          <w:shd w:val="clear" w:color="auto" w:fill="FFFFFF"/>
        </w:rPr>
        <w:t xml:space="preserve">f Carbon Management Accounting Reporting </w:t>
      </w:r>
      <w:r>
        <w:rPr>
          <w:color w:val="222222"/>
          <w:shd w:val="clear" w:color="auto" w:fill="FFFFFF"/>
        </w:rPr>
        <w:t>a</w:t>
      </w:r>
      <w:r w:rsidRPr="00270EEC">
        <w:rPr>
          <w:color w:val="222222"/>
          <w:shd w:val="clear" w:color="auto" w:fill="FFFFFF"/>
        </w:rPr>
        <w:t xml:space="preserve">s </w:t>
      </w:r>
      <w:r>
        <w:rPr>
          <w:color w:val="222222"/>
          <w:shd w:val="clear" w:color="auto" w:fill="FFFFFF"/>
        </w:rPr>
        <w:t>a</w:t>
      </w:r>
      <w:r w:rsidRPr="00270EEC">
        <w:rPr>
          <w:color w:val="222222"/>
          <w:shd w:val="clear" w:color="auto" w:fill="FFFFFF"/>
        </w:rPr>
        <w:t xml:space="preserve"> Financial Barrier </w:t>
      </w:r>
      <w:r>
        <w:rPr>
          <w:color w:val="222222"/>
          <w:shd w:val="clear" w:color="auto" w:fill="FFFFFF"/>
        </w:rPr>
        <w:t>t</w:t>
      </w:r>
      <w:r w:rsidRPr="00270EEC">
        <w:rPr>
          <w:color w:val="222222"/>
          <w:shd w:val="clear" w:color="auto" w:fill="FFFFFF"/>
        </w:rPr>
        <w:t>o Clean Development Mechanism Projects Development</w:t>
      </w:r>
      <w:r w:rsidRPr="00A11E67">
        <w:rPr>
          <w:color w:val="222222"/>
          <w:shd w:val="clear" w:color="auto" w:fill="FFFFFF"/>
        </w:rPr>
        <w:t>. </w:t>
      </w:r>
      <w:proofErr w:type="spellStart"/>
      <w:r w:rsidRPr="00A11E67">
        <w:rPr>
          <w:b/>
          <w:bCs/>
          <w:color w:val="222222"/>
        </w:rPr>
        <w:t>Cadernos</w:t>
      </w:r>
      <w:proofErr w:type="spellEnd"/>
      <w:r w:rsidRPr="00A11E67">
        <w:rPr>
          <w:b/>
          <w:bCs/>
          <w:color w:val="222222"/>
        </w:rPr>
        <w:t xml:space="preserve"> EBAPE. BR</w:t>
      </w:r>
      <w:r w:rsidRPr="00A11E67">
        <w:rPr>
          <w:color w:val="222222"/>
          <w:shd w:val="clear" w:color="auto" w:fill="FFFFFF"/>
        </w:rPr>
        <w:t>, v. 16, n. 3, p. 345-354, 2018.</w:t>
      </w:r>
    </w:p>
    <w:p w14:paraId="37D3DAB9" w14:textId="77777777" w:rsidR="006200A5" w:rsidRPr="00E83BAD" w:rsidRDefault="006200A5" w:rsidP="00274E89">
      <w:pPr>
        <w:widowControl w:val="0"/>
        <w:autoSpaceDE w:val="0"/>
        <w:autoSpaceDN w:val="0"/>
        <w:adjustRightInd w:val="0"/>
        <w:jc w:val="both"/>
        <w:rPr>
          <w:noProof/>
        </w:rPr>
      </w:pPr>
    </w:p>
    <w:p w14:paraId="63ED93B9" w14:textId="77BABAA5" w:rsidR="009A552F" w:rsidRPr="00A11E67" w:rsidRDefault="006200A5" w:rsidP="00274E89">
      <w:pPr>
        <w:widowControl w:val="0"/>
        <w:autoSpaceDE w:val="0"/>
        <w:autoSpaceDN w:val="0"/>
        <w:adjustRightInd w:val="0"/>
        <w:jc w:val="both"/>
        <w:rPr>
          <w:rFonts w:eastAsia="Calibri"/>
          <w:noProof/>
          <w:lang w:val="pt-BR"/>
        </w:rPr>
      </w:pPr>
      <w:r w:rsidRPr="00270EEC">
        <w:rPr>
          <w:noProof/>
        </w:rPr>
        <w:t>BUFONI, A. L.</w:t>
      </w:r>
      <w:r w:rsidR="00270EEC" w:rsidRPr="00270EEC">
        <w:rPr>
          <w:noProof/>
        </w:rPr>
        <w:t>;</w:t>
      </w:r>
      <w:r w:rsidRPr="00A11E67">
        <w:rPr>
          <w:noProof/>
        </w:rPr>
        <w:t xml:space="preserve"> OLIVEIRA, L. B.</w:t>
      </w:r>
      <w:r w:rsidR="00270EEC" w:rsidRPr="00A11E67">
        <w:rPr>
          <w:noProof/>
        </w:rPr>
        <w:t>;</w:t>
      </w:r>
      <w:r w:rsidRPr="00A11E67">
        <w:rPr>
          <w:noProof/>
        </w:rPr>
        <w:t xml:space="preserve"> ROSA, L. P.</w:t>
      </w:r>
      <w:r w:rsidR="00270EEC" w:rsidRPr="00A11E67">
        <w:rPr>
          <w:noProof/>
        </w:rPr>
        <w:t xml:space="preserve"> </w:t>
      </w:r>
      <w:r w:rsidR="00270EEC" w:rsidRPr="00A11E67">
        <w:rPr>
          <w:color w:val="222222"/>
          <w:shd w:val="clear" w:color="auto" w:fill="FFFFFF"/>
        </w:rPr>
        <w:t xml:space="preserve">The </w:t>
      </w:r>
      <w:r w:rsidR="009633DA">
        <w:rPr>
          <w:color w:val="222222"/>
          <w:shd w:val="clear" w:color="auto" w:fill="FFFFFF"/>
        </w:rPr>
        <w:t>f</w:t>
      </w:r>
      <w:r w:rsidR="009633DA" w:rsidRPr="009633DA">
        <w:rPr>
          <w:color w:val="222222"/>
          <w:shd w:val="clear" w:color="auto" w:fill="FFFFFF"/>
        </w:rPr>
        <w:t xml:space="preserve">inancial </w:t>
      </w:r>
      <w:r w:rsidR="009633DA">
        <w:rPr>
          <w:color w:val="222222"/>
          <w:shd w:val="clear" w:color="auto" w:fill="FFFFFF"/>
        </w:rPr>
        <w:t>a</w:t>
      </w:r>
      <w:r w:rsidR="009633DA" w:rsidRPr="009633DA">
        <w:rPr>
          <w:color w:val="222222"/>
          <w:shd w:val="clear" w:color="auto" w:fill="FFFFFF"/>
        </w:rPr>
        <w:t xml:space="preserve">ttractiveness </w:t>
      </w:r>
      <w:r w:rsidR="009633DA">
        <w:rPr>
          <w:color w:val="222222"/>
          <w:shd w:val="clear" w:color="auto" w:fill="FFFFFF"/>
        </w:rPr>
        <w:t>a</w:t>
      </w:r>
      <w:r w:rsidR="009633DA" w:rsidRPr="009633DA">
        <w:rPr>
          <w:color w:val="222222"/>
          <w:shd w:val="clear" w:color="auto" w:fill="FFFFFF"/>
        </w:rPr>
        <w:t xml:space="preserve">ssessment of </w:t>
      </w:r>
      <w:r w:rsidR="009633DA">
        <w:rPr>
          <w:color w:val="222222"/>
          <w:shd w:val="clear" w:color="auto" w:fill="FFFFFF"/>
        </w:rPr>
        <w:t>l</w:t>
      </w:r>
      <w:r w:rsidR="009633DA" w:rsidRPr="009633DA">
        <w:rPr>
          <w:color w:val="222222"/>
          <w:shd w:val="clear" w:color="auto" w:fill="FFFFFF"/>
        </w:rPr>
        <w:t xml:space="preserve">arge </w:t>
      </w:r>
      <w:r w:rsidR="009633DA">
        <w:rPr>
          <w:color w:val="222222"/>
          <w:shd w:val="clear" w:color="auto" w:fill="FFFFFF"/>
        </w:rPr>
        <w:t>w</w:t>
      </w:r>
      <w:r w:rsidR="009633DA" w:rsidRPr="009633DA">
        <w:rPr>
          <w:color w:val="222222"/>
          <w:shd w:val="clear" w:color="auto" w:fill="FFFFFF"/>
        </w:rPr>
        <w:t xml:space="preserve">aste </w:t>
      </w:r>
      <w:r w:rsidR="009633DA">
        <w:rPr>
          <w:color w:val="222222"/>
          <w:shd w:val="clear" w:color="auto" w:fill="FFFFFF"/>
        </w:rPr>
        <w:t>m</w:t>
      </w:r>
      <w:r w:rsidR="009633DA" w:rsidRPr="009633DA">
        <w:rPr>
          <w:color w:val="222222"/>
          <w:shd w:val="clear" w:color="auto" w:fill="FFFFFF"/>
        </w:rPr>
        <w:t xml:space="preserve">anagement </w:t>
      </w:r>
      <w:r w:rsidR="009633DA">
        <w:rPr>
          <w:color w:val="222222"/>
          <w:shd w:val="clear" w:color="auto" w:fill="FFFFFF"/>
        </w:rPr>
        <w:t>p</w:t>
      </w:r>
      <w:r w:rsidR="009633DA" w:rsidRPr="009633DA">
        <w:rPr>
          <w:color w:val="222222"/>
          <w:shd w:val="clear" w:color="auto" w:fill="FFFFFF"/>
        </w:rPr>
        <w:t xml:space="preserve">rojects </w:t>
      </w:r>
      <w:r w:rsidR="009633DA">
        <w:rPr>
          <w:color w:val="222222"/>
          <w:shd w:val="clear" w:color="auto" w:fill="FFFFFF"/>
        </w:rPr>
        <w:t>r</w:t>
      </w:r>
      <w:r w:rsidR="009633DA" w:rsidRPr="009633DA">
        <w:rPr>
          <w:color w:val="222222"/>
          <w:shd w:val="clear" w:color="auto" w:fill="FFFFFF"/>
        </w:rPr>
        <w:t xml:space="preserve">egistered as </w:t>
      </w:r>
      <w:r w:rsidR="009633DA">
        <w:rPr>
          <w:color w:val="222222"/>
          <w:shd w:val="clear" w:color="auto" w:fill="FFFFFF"/>
        </w:rPr>
        <w:t>c</w:t>
      </w:r>
      <w:r w:rsidR="009633DA" w:rsidRPr="009633DA">
        <w:rPr>
          <w:color w:val="222222"/>
          <w:shd w:val="clear" w:color="auto" w:fill="FFFFFF"/>
        </w:rPr>
        <w:t xml:space="preserve">lean </w:t>
      </w:r>
      <w:r w:rsidR="009633DA">
        <w:rPr>
          <w:color w:val="222222"/>
          <w:shd w:val="clear" w:color="auto" w:fill="FFFFFF"/>
        </w:rPr>
        <w:t>d</w:t>
      </w:r>
      <w:r w:rsidR="009633DA" w:rsidRPr="009633DA">
        <w:rPr>
          <w:color w:val="222222"/>
          <w:shd w:val="clear" w:color="auto" w:fill="FFFFFF"/>
        </w:rPr>
        <w:t xml:space="preserve">evelopment </w:t>
      </w:r>
      <w:r w:rsidR="009633DA">
        <w:rPr>
          <w:color w:val="222222"/>
          <w:shd w:val="clear" w:color="auto" w:fill="FFFFFF"/>
        </w:rPr>
        <w:t>m</w:t>
      </w:r>
      <w:r w:rsidR="009633DA" w:rsidRPr="009633DA">
        <w:rPr>
          <w:color w:val="222222"/>
          <w:shd w:val="clear" w:color="auto" w:fill="FFFFFF"/>
        </w:rPr>
        <w:t>echanism</w:t>
      </w:r>
      <w:r w:rsidR="00270EEC" w:rsidRPr="00A11E67">
        <w:rPr>
          <w:color w:val="222222"/>
          <w:shd w:val="clear" w:color="auto" w:fill="FFFFFF"/>
        </w:rPr>
        <w:t>. </w:t>
      </w:r>
      <w:r w:rsidR="00270EEC" w:rsidRPr="00A11E67">
        <w:rPr>
          <w:b/>
          <w:bCs/>
          <w:color w:val="222222"/>
        </w:rPr>
        <w:t>Waste Management</w:t>
      </w:r>
      <w:r w:rsidR="00270EEC" w:rsidRPr="00A11E67">
        <w:rPr>
          <w:color w:val="222222"/>
          <w:shd w:val="clear" w:color="auto" w:fill="FFFFFF"/>
        </w:rPr>
        <w:t>, v. 43, p. 497-508, 2015.</w:t>
      </w:r>
      <w:r w:rsidR="00270EEC" w:rsidRPr="00270EEC">
        <w:t xml:space="preserve"> </w:t>
      </w:r>
      <w:r w:rsidR="009A552F" w:rsidRPr="00A11E67">
        <w:rPr>
          <w:noProof/>
        </w:rPr>
        <w:t>doi</w:t>
      </w:r>
      <w:r w:rsidR="00D07841" w:rsidRPr="00A11E67">
        <w:rPr>
          <w:noProof/>
        </w:rPr>
        <w:t>:</w:t>
      </w:r>
      <w:r w:rsidR="009A552F" w:rsidRPr="00A11E67">
        <w:rPr>
          <w:noProof/>
        </w:rPr>
        <w:t>10.1016/j.wasman.2015.06.030.</w:t>
      </w:r>
    </w:p>
    <w:p w14:paraId="62D1E46D" w14:textId="77777777" w:rsidR="006200A5" w:rsidRPr="00E83BAD" w:rsidRDefault="006200A5" w:rsidP="004A0F98">
      <w:pPr>
        <w:widowControl w:val="0"/>
        <w:autoSpaceDE w:val="0"/>
        <w:autoSpaceDN w:val="0"/>
        <w:adjustRightInd w:val="0"/>
        <w:jc w:val="both"/>
        <w:rPr>
          <w:noProof/>
        </w:rPr>
      </w:pPr>
    </w:p>
    <w:p w14:paraId="69265615" w14:textId="249A53F9" w:rsidR="000D34AA" w:rsidRPr="00A11E67" w:rsidRDefault="000D34AA" w:rsidP="00A11E67">
      <w:pPr>
        <w:widowControl w:val="0"/>
        <w:autoSpaceDE w:val="0"/>
        <w:autoSpaceDN w:val="0"/>
        <w:adjustRightInd w:val="0"/>
        <w:jc w:val="both"/>
        <w:rPr>
          <w:rFonts w:eastAsia="Calibri"/>
          <w:noProof/>
          <w:lang w:val="pt-BR"/>
        </w:rPr>
      </w:pPr>
      <w:r w:rsidRPr="00A11E67">
        <w:rPr>
          <w:color w:val="222222"/>
          <w:shd w:val="clear" w:color="auto" w:fill="FFFFFF"/>
        </w:rPr>
        <w:t>BUFONI, A</w:t>
      </w:r>
      <w:r>
        <w:rPr>
          <w:color w:val="222222"/>
          <w:shd w:val="clear" w:color="auto" w:fill="FFFFFF"/>
        </w:rPr>
        <w:t xml:space="preserve">. </w:t>
      </w:r>
      <w:r w:rsidRPr="00A11E67">
        <w:rPr>
          <w:color w:val="222222"/>
          <w:shd w:val="clear" w:color="auto" w:fill="FFFFFF"/>
        </w:rPr>
        <w:t>L</w:t>
      </w:r>
      <w:r>
        <w:rPr>
          <w:color w:val="222222"/>
          <w:shd w:val="clear" w:color="auto" w:fill="FFFFFF"/>
        </w:rPr>
        <w:t>.</w:t>
      </w:r>
      <w:r w:rsidRPr="00A11E67">
        <w:rPr>
          <w:color w:val="222222"/>
          <w:shd w:val="clear" w:color="auto" w:fill="FFFFFF"/>
        </w:rPr>
        <w:t>; OLIVEIRA, L</w:t>
      </w:r>
      <w:r>
        <w:rPr>
          <w:color w:val="222222"/>
          <w:shd w:val="clear" w:color="auto" w:fill="FFFFFF"/>
        </w:rPr>
        <w:t>.</w:t>
      </w:r>
      <w:r w:rsidRPr="00A11E67">
        <w:rPr>
          <w:color w:val="222222"/>
          <w:shd w:val="clear" w:color="auto" w:fill="FFFFFF"/>
        </w:rPr>
        <w:t xml:space="preserve"> B</w:t>
      </w:r>
      <w:r>
        <w:rPr>
          <w:color w:val="222222"/>
          <w:shd w:val="clear" w:color="auto" w:fill="FFFFFF"/>
        </w:rPr>
        <w:t>.</w:t>
      </w:r>
      <w:r w:rsidRPr="00A11E67">
        <w:rPr>
          <w:color w:val="222222"/>
          <w:shd w:val="clear" w:color="auto" w:fill="FFFFFF"/>
        </w:rPr>
        <w:t>; ROSA, L</w:t>
      </w:r>
      <w:r>
        <w:rPr>
          <w:color w:val="222222"/>
          <w:shd w:val="clear" w:color="auto" w:fill="FFFFFF"/>
        </w:rPr>
        <w:t>.</w:t>
      </w:r>
      <w:r w:rsidRPr="00A11E67">
        <w:rPr>
          <w:color w:val="222222"/>
          <w:shd w:val="clear" w:color="auto" w:fill="FFFFFF"/>
        </w:rPr>
        <w:t xml:space="preserve"> P. The declared barriers of the large developing countries waste management projects: The STAR model. </w:t>
      </w:r>
      <w:r w:rsidRPr="00A11E67">
        <w:rPr>
          <w:b/>
          <w:bCs/>
          <w:color w:val="222222"/>
        </w:rPr>
        <w:t>Waste management</w:t>
      </w:r>
      <w:r w:rsidRPr="00A11E67">
        <w:rPr>
          <w:color w:val="222222"/>
          <w:shd w:val="clear" w:color="auto" w:fill="FFFFFF"/>
        </w:rPr>
        <w:t>, v. 52, p. 326-338, 2016.</w:t>
      </w:r>
      <w:r w:rsidRPr="00A11E67">
        <w:rPr>
          <w:color w:val="222222"/>
          <w:shd w:val="clear" w:color="auto" w:fill="FFFFFF"/>
        </w:rPr>
        <w:t xml:space="preserve"> </w:t>
      </w:r>
      <w:r w:rsidRPr="000D34AA">
        <w:rPr>
          <w:noProof/>
        </w:rPr>
        <w:t>doi:10.1016/j.wasman.2016.03.023</w:t>
      </w:r>
    </w:p>
    <w:p w14:paraId="72DA2575" w14:textId="77777777" w:rsidR="006200A5" w:rsidRPr="00E83BAD" w:rsidRDefault="006200A5" w:rsidP="00274E89">
      <w:pPr>
        <w:widowControl w:val="0"/>
        <w:autoSpaceDE w:val="0"/>
        <w:autoSpaceDN w:val="0"/>
        <w:adjustRightInd w:val="0"/>
        <w:jc w:val="both"/>
        <w:rPr>
          <w:noProof/>
        </w:rPr>
      </w:pPr>
    </w:p>
    <w:p w14:paraId="092BDB6B" w14:textId="1F2D13EA" w:rsidR="000D34AA" w:rsidRPr="00A11E67" w:rsidRDefault="000D34AA" w:rsidP="00A11E67">
      <w:pPr>
        <w:jc w:val="both"/>
        <w:rPr>
          <w:lang w:val="pt-BR"/>
        </w:rPr>
      </w:pPr>
      <w:r w:rsidRPr="00A11E67">
        <w:rPr>
          <w:color w:val="222222"/>
          <w:shd w:val="clear" w:color="auto" w:fill="FFFFFF"/>
          <w:lang w:val="pt-BR"/>
        </w:rPr>
        <w:t>CAMPELO, K</w:t>
      </w:r>
      <w:r>
        <w:rPr>
          <w:color w:val="222222"/>
          <w:shd w:val="clear" w:color="auto" w:fill="FFFFFF"/>
        </w:rPr>
        <w:t>.</w:t>
      </w:r>
      <w:r w:rsidRPr="00A11E67">
        <w:rPr>
          <w:color w:val="222222"/>
          <w:shd w:val="clear" w:color="auto" w:fill="FFFFFF"/>
          <w:lang w:val="pt-BR"/>
        </w:rPr>
        <w:t xml:space="preserve"> S</w:t>
      </w:r>
      <w:r>
        <w:rPr>
          <w:color w:val="222222"/>
          <w:shd w:val="clear" w:color="auto" w:fill="FFFFFF"/>
        </w:rPr>
        <w:t>.</w:t>
      </w:r>
      <w:r w:rsidRPr="00A11E67">
        <w:rPr>
          <w:color w:val="222222"/>
          <w:shd w:val="clear" w:color="auto" w:fill="FFFFFF"/>
          <w:lang w:val="pt-BR"/>
        </w:rPr>
        <w:t xml:space="preserve"> et al. Características </w:t>
      </w:r>
      <w:r>
        <w:rPr>
          <w:color w:val="222222"/>
          <w:shd w:val="clear" w:color="auto" w:fill="FFFFFF"/>
        </w:rPr>
        <w:t>Q</w:t>
      </w:r>
      <w:r w:rsidRPr="00A11E67">
        <w:rPr>
          <w:color w:val="222222"/>
          <w:shd w:val="clear" w:color="auto" w:fill="FFFFFF"/>
          <w:lang w:val="pt-BR"/>
        </w:rPr>
        <w:t xml:space="preserve">ualitativas da </w:t>
      </w:r>
      <w:r>
        <w:rPr>
          <w:color w:val="222222"/>
          <w:shd w:val="clear" w:color="auto" w:fill="FFFFFF"/>
        </w:rPr>
        <w:t>I</w:t>
      </w:r>
      <w:r w:rsidRPr="00A11E67">
        <w:rPr>
          <w:color w:val="222222"/>
          <w:shd w:val="clear" w:color="auto" w:fill="FFFFFF"/>
          <w:lang w:val="pt-BR"/>
        </w:rPr>
        <w:t xml:space="preserve">nformação </w:t>
      </w:r>
      <w:r>
        <w:rPr>
          <w:color w:val="222222"/>
          <w:shd w:val="clear" w:color="auto" w:fill="FFFFFF"/>
        </w:rPr>
        <w:t>C</w:t>
      </w:r>
      <w:r w:rsidRPr="00A11E67">
        <w:rPr>
          <w:color w:val="222222"/>
          <w:shd w:val="clear" w:color="auto" w:fill="FFFFFF"/>
          <w:lang w:val="pt-BR"/>
        </w:rPr>
        <w:t xml:space="preserve">ontábil: </w:t>
      </w:r>
      <w:r>
        <w:rPr>
          <w:color w:val="222222"/>
          <w:shd w:val="clear" w:color="auto" w:fill="FFFFFF"/>
        </w:rPr>
        <w:t>U</w:t>
      </w:r>
      <w:r w:rsidRPr="00A11E67">
        <w:rPr>
          <w:color w:val="222222"/>
          <w:shd w:val="clear" w:color="auto" w:fill="FFFFFF"/>
          <w:lang w:val="pt-BR"/>
        </w:rPr>
        <w:t xml:space="preserve">ma </w:t>
      </w:r>
      <w:r>
        <w:rPr>
          <w:color w:val="222222"/>
          <w:shd w:val="clear" w:color="auto" w:fill="FFFFFF"/>
        </w:rPr>
        <w:t>A</w:t>
      </w:r>
      <w:r w:rsidRPr="00A11E67">
        <w:rPr>
          <w:color w:val="222222"/>
          <w:shd w:val="clear" w:color="auto" w:fill="FFFFFF"/>
          <w:lang w:val="pt-BR"/>
        </w:rPr>
        <w:t xml:space="preserve">nálise do </w:t>
      </w:r>
      <w:r>
        <w:rPr>
          <w:color w:val="222222"/>
          <w:shd w:val="clear" w:color="auto" w:fill="FFFFFF"/>
        </w:rPr>
        <w:t>G</w:t>
      </w:r>
      <w:r w:rsidRPr="00A11E67">
        <w:rPr>
          <w:color w:val="222222"/>
          <w:shd w:val="clear" w:color="auto" w:fill="FFFFFF"/>
          <w:lang w:val="pt-BR"/>
        </w:rPr>
        <w:t xml:space="preserve">rau de </w:t>
      </w:r>
      <w:r>
        <w:rPr>
          <w:color w:val="222222"/>
          <w:shd w:val="clear" w:color="auto" w:fill="FFFFFF"/>
        </w:rPr>
        <w:t>E</w:t>
      </w:r>
      <w:r w:rsidRPr="00A11E67">
        <w:rPr>
          <w:color w:val="222222"/>
          <w:shd w:val="clear" w:color="auto" w:fill="FFFFFF"/>
          <w:lang w:val="pt-BR"/>
        </w:rPr>
        <w:t xml:space="preserve">ntendimento dos </w:t>
      </w:r>
      <w:r>
        <w:rPr>
          <w:color w:val="222222"/>
          <w:shd w:val="clear" w:color="auto" w:fill="FFFFFF"/>
        </w:rPr>
        <w:t>G</w:t>
      </w:r>
      <w:r w:rsidRPr="00A11E67">
        <w:rPr>
          <w:color w:val="222222"/>
          <w:shd w:val="clear" w:color="auto" w:fill="FFFFFF"/>
          <w:lang w:val="pt-BR"/>
        </w:rPr>
        <w:t xml:space="preserve">estores </w:t>
      </w:r>
      <w:r>
        <w:rPr>
          <w:color w:val="222222"/>
          <w:shd w:val="clear" w:color="auto" w:fill="FFFFFF"/>
        </w:rPr>
        <w:t>F</w:t>
      </w:r>
      <w:r w:rsidRPr="00A11E67">
        <w:rPr>
          <w:color w:val="222222"/>
          <w:shd w:val="clear" w:color="auto" w:fill="FFFFFF"/>
          <w:lang w:val="pt-BR"/>
        </w:rPr>
        <w:t xml:space="preserve">inanceiros de </w:t>
      </w:r>
      <w:r>
        <w:rPr>
          <w:color w:val="222222"/>
          <w:shd w:val="clear" w:color="auto" w:fill="FFFFFF"/>
        </w:rPr>
        <w:t>E</w:t>
      </w:r>
      <w:r w:rsidRPr="00A11E67">
        <w:rPr>
          <w:color w:val="222222"/>
          <w:shd w:val="clear" w:color="auto" w:fill="FFFFFF"/>
          <w:lang w:val="pt-BR"/>
        </w:rPr>
        <w:t xml:space="preserve">mpresas do </w:t>
      </w:r>
      <w:r>
        <w:rPr>
          <w:color w:val="222222"/>
          <w:shd w:val="clear" w:color="auto" w:fill="FFFFFF"/>
        </w:rPr>
        <w:t>S</w:t>
      </w:r>
      <w:r w:rsidRPr="00A11E67">
        <w:rPr>
          <w:color w:val="222222"/>
          <w:shd w:val="clear" w:color="auto" w:fill="FFFFFF"/>
          <w:lang w:val="pt-BR"/>
        </w:rPr>
        <w:t xml:space="preserve">etor </w:t>
      </w:r>
      <w:r>
        <w:rPr>
          <w:color w:val="222222"/>
          <w:shd w:val="clear" w:color="auto" w:fill="FFFFFF"/>
        </w:rPr>
        <w:t>E</w:t>
      </w:r>
      <w:r w:rsidRPr="00A11E67">
        <w:rPr>
          <w:color w:val="222222"/>
          <w:shd w:val="clear" w:color="auto" w:fill="FFFFFF"/>
          <w:lang w:val="pt-BR"/>
        </w:rPr>
        <w:t xml:space="preserve">létrico </w:t>
      </w:r>
      <w:r>
        <w:rPr>
          <w:color w:val="222222"/>
          <w:shd w:val="clear" w:color="auto" w:fill="FFFFFF"/>
        </w:rPr>
        <w:t>B</w:t>
      </w:r>
      <w:r w:rsidRPr="00A11E67">
        <w:rPr>
          <w:color w:val="222222"/>
          <w:shd w:val="clear" w:color="auto" w:fill="FFFFFF"/>
          <w:lang w:val="pt-BR"/>
        </w:rPr>
        <w:t>rasileiro. </w:t>
      </w:r>
      <w:r w:rsidRPr="00A11E67">
        <w:rPr>
          <w:b/>
          <w:bCs/>
          <w:color w:val="222222"/>
          <w:lang w:val="pt-BR"/>
        </w:rPr>
        <w:t>Revista de Negócios</w:t>
      </w:r>
      <w:r w:rsidRPr="00A11E67">
        <w:rPr>
          <w:color w:val="222222"/>
          <w:shd w:val="clear" w:color="auto" w:fill="FFFFFF"/>
          <w:lang w:val="pt-BR"/>
        </w:rPr>
        <w:t>, v. 16, n. 4, p. 11-29, 2012.</w:t>
      </w:r>
    </w:p>
    <w:p w14:paraId="53A29F84" w14:textId="77777777" w:rsidR="006200A5" w:rsidRPr="00E83BAD" w:rsidRDefault="006200A5" w:rsidP="00274E89">
      <w:pPr>
        <w:widowControl w:val="0"/>
        <w:autoSpaceDE w:val="0"/>
        <w:autoSpaceDN w:val="0"/>
        <w:adjustRightInd w:val="0"/>
        <w:jc w:val="both"/>
        <w:rPr>
          <w:noProof/>
        </w:rPr>
      </w:pPr>
    </w:p>
    <w:p w14:paraId="777324F5" w14:textId="73199E78" w:rsidR="009A552F" w:rsidRDefault="009A552F" w:rsidP="00274E89">
      <w:pPr>
        <w:widowControl w:val="0"/>
        <w:autoSpaceDE w:val="0"/>
        <w:autoSpaceDN w:val="0"/>
        <w:adjustRightInd w:val="0"/>
        <w:jc w:val="both"/>
        <w:rPr>
          <w:noProof/>
        </w:rPr>
      </w:pPr>
      <w:r w:rsidRPr="00E83BAD">
        <w:rPr>
          <w:noProof/>
        </w:rPr>
        <w:t>CIPS K</w:t>
      </w:r>
      <w:r w:rsidR="00182162" w:rsidRPr="00E83BAD">
        <w:rPr>
          <w:noProof/>
        </w:rPr>
        <w:t>NOWLEDGE WORKS</w:t>
      </w:r>
      <w:r w:rsidRPr="00E83BAD">
        <w:rPr>
          <w:noProof/>
        </w:rPr>
        <w:t xml:space="preserve">. How to </w:t>
      </w:r>
      <w:r w:rsidR="00181A5B">
        <w:rPr>
          <w:noProof/>
        </w:rPr>
        <w:t>D</w:t>
      </w:r>
      <w:r w:rsidRPr="00E83BAD">
        <w:rPr>
          <w:noProof/>
        </w:rPr>
        <w:t xml:space="preserve">evelop a </w:t>
      </w:r>
      <w:r w:rsidR="00181A5B">
        <w:rPr>
          <w:noProof/>
        </w:rPr>
        <w:t>W</w:t>
      </w:r>
      <w:r w:rsidRPr="00E83BAD">
        <w:rPr>
          <w:noProof/>
        </w:rPr>
        <w:t xml:space="preserve">aste </w:t>
      </w:r>
      <w:r w:rsidR="00181A5B">
        <w:rPr>
          <w:noProof/>
        </w:rPr>
        <w:t>M</w:t>
      </w:r>
      <w:r w:rsidRPr="00E83BAD">
        <w:rPr>
          <w:noProof/>
        </w:rPr>
        <w:t xml:space="preserve">anagement and </w:t>
      </w:r>
      <w:r w:rsidR="00181A5B">
        <w:rPr>
          <w:noProof/>
        </w:rPr>
        <w:t>D</w:t>
      </w:r>
      <w:r w:rsidRPr="00E83BAD">
        <w:rPr>
          <w:noProof/>
        </w:rPr>
        <w:t xml:space="preserve">isposal </w:t>
      </w:r>
      <w:r w:rsidR="00181A5B">
        <w:rPr>
          <w:noProof/>
        </w:rPr>
        <w:t>S</w:t>
      </w:r>
      <w:r w:rsidRPr="00E83BAD">
        <w:rPr>
          <w:noProof/>
        </w:rPr>
        <w:t xml:space="preserve">trategy. </w:t>
      </w:r>
      <w:r w:rsidRPr="00A11E67">
        <w:rPr>
          <w:b/>
          <w:bCs/>
          <w:noProof/>
        </w:rPr>
        <w:t>The Chartered Institute of Purchasing &amp; Supply</w:t>
      </w:r>
      <w:r w:rsidRPr="00E83BAD">
        <w:rPr>
          <w:noProof/>
        </w:rPr>
        <w:t xml:space="preserve">, </w:t>
      </w:r>
      <w:r w:rsidR="00181A5B">
        <w:rPr>
          <w:noProof/>
        </w:rPr>
        <w:t xml:space="preserve">n. </w:t>
      </w:r>
      <w:r w:rsidRPr="00E83BAD">
        <w:rPr>
          <w:iCs/>
          <w:noProof/>
        </w:rPr>
        <w:t>44</w:t>
      </w:r>
      <w:r w:rsidRPr="00E83BAD">
        <w:rPr>
          <w:noProof/>
        </w:rPr>
        <w:t xml:space="preserve">, </w:t>
      </w:r>
      <w:r w:rsidR="00181A5B">
        <w:rPr>
          <w:noProof/>
        </w:rPr>
        <w:t xml:space="preserve">p. </w:t>
      </w:r>
      <w:r w:rsidRPr="00E83BAD">
        <w:rPr>
          <w:noProof/>
        </w:rPr>
        <w:t>1–27</w:t>
      </w:r>
      <w:r w:rsidR="00181A5B">
        <w:rPr>
          <w:noProof/>
        </w:rPr>
        <w:t>, 2007.</w:t>
      </w:r>
    </w:p>
    <w:p w14:paraId="2B1CD8FA" w14:textId="77777777" w:rsidR="006200A5" w:rsidRPr="00E83BAD" w:rsidRDefault="006200A5" w:rsidP="004A0F98">
      <w:pPr>
        <w:widowControl w:val="0"/>
        <w:autoSpaceDE w:val="0"/>
        <w:autoSpaceDN w:val="0"/>
        <w:adjustRightInd w:val="0"/>
        <w:jc w:val="both"/>
        <w:rPr>
          <w:noProof/>
        </w:rPr>
      </w:pPr>
    </w:p>
    <w:p w14:paraId="6E2123FE" w14:textId="4811F84A" w:rsidR="00181A5B" w:rsidRPr="00181A5B" w:rsidRDefault="00181A5B" w:rsidP="00A11E67">
      <w:pPr>
        <w:jc w:val="both"/>
      </w:pPr>
      <w:r w:rsidRPr="00181A5B">
        <w:rPr>
          <w:color w:val="222222"/>
          <w:shd w:val="clear" w:color="auto" w:fill="FFFFFF"/>
        </w:rPr>
        <w:t>GUERRERO, L</w:t>
      </w:r>
      <w:r>
        <w:rPr>
          <w:color w:val="222222"/>
          <w:shd w:val="clear" w:color="auto" w:fill="FFFFFF"/>
        </w:rPr>
        <w:t>.</w:t>
      </w:r>
      <w:r w:rsidRPr="00181A5B">
        <w:rPr>
          <w:color w:val="222222"/>
          <w:shd w:val="clear" w:color="auto" w:fill="FFFFFF"/>
        </w:rPr>
        <w:t xml:space="preserve"> A</w:t>
      </w:r>
      <w:r>
        <w:rPr>
          <w:color w:val="222222"/>
          <w:shd w:val="clear" w:color="auto" w:fill="FFFFFF"/>
        </w:rPr>
        <w:t>.</w:t>
      </w:r>
      <w:r w:rsidRPr="00181A5B">
        <w:rPr>
          <w:color w:val="222222"/>
          <w:shd w:val="clear" w:color="auto" w:fill="FFFFFF"/>
        </w:rPr>
        <w:t>; MAAS, G</w:t>
      </w:r>
      <w:r>
        <w:rPr>
          <w:color w:val="222222"/>
          <w:shd w:val="clear" w:color="auto" w:fill="FFFFFF"/>
        </w:rPr>
        <w:t>.</w:t>
      </w:r>
      <w:r w:rsidRPr="00181A5B">
        <w:rPr>
          <w:color w:val="222222"/>
          <w:shd w:val="clear" w:color="auto" w:fill="FFFFFF"/>
        </w:rPr>
        <w:t xml:space="preserve">; HOGLAND, W. </w:t>
      </w:r>
      <w:r w:rsidR="009633DA" w:rsidRPr="00181A5B">
        <w:rPr>
          <w:color w:val="222222"/>
          <w:shd w:val="clear" w:color="auto" w:fill="FFFFFF"/>
        </w:rPr>
        <w:t>solid waste management challenges for cities in developing countries</w:t>
      </w:r>
      <w:r w:rsidRPr="00181A5B">
        <w:rPr>
          <w:color w:val="222222"/>
          <w:shd w:val="clear" w:color="auto" w:fill="FFFFFF"/>
        </w:rPr>
        <w:t>. </w:t>
      </w:r>
      <w:r w:rsidRPr="00181A5B">
        <w:rPr>
          <w:b/>
          <w:bCs/>
          <w:color w:val="222222"/>
        </w:rPr>
        <w:t>Waste Management</w:t>
      </w:r>
      <w:r w:rsidRPr="00181A5B">
        <w:rPr>
          <w:color w:val="222222"/>
          <w:shd w:val="clear" w:color="auto" w:fill="FFFFFF"/>
        </w:rPr>
        <w:t>, v. 33, n. 1, p. 220-232, 2013.</w:t>
      </w:r>
    </w:p>
    <w:p w14:paraId="3F9C01E3" w14:textId="77777777" w:rsidR="006200A5" w:rsidRPr="00E83BAD" w:rsidRDefault="006200A5" w:rsidP="00274E89">
      <w:pPr>
        <w:widowControl w:val="0"/>
        <w:autoSpaceDE w:val="0"/>
        <w:autoSpaceDN w:val="0"/>
        <w:adjustRightInd w:val="0"/>
        <w:jc w:val="both"/>
        <w:rPr>
          <w:noProof/>
        </w:rPr>
      </w:pPr>
    </w:p>
    <w:p w14:paraId="1E4D9538" w14:textId="590BA1D7" w:rsidR="00181A5B" w:rsidRPr="00A11E67" w:rsidRDefault="00181A5B" w:rsidP="00A11E67">
      <w:pPr>
        <w:widowControl w:val="0"/>
        <w:autoSpaceDE w:val="0"/>
        <w:autoSpaceDN w:val="0"/>
        <w:adjustRightInd w:val="0"/>
        <w:jc w:val="both"/>
        <w:rPr>
          <w:rFonts w:eastAsia="Calibri"/>
          <w:noProof/>
        </w:rPr>
      </w:pPr>
      <w:r w:rsidRPr="00A11E67">
        <w:rPr>
          <w:color w:val="222222"/>
          <w:shd w:val="clear" w:color="auto" w:fill="FFFFFF"/>
        </w:rPr>
        <w:t>INANC, B</w:t>
      </w:r>
      <w:r>
        <w:rPr>
          <w:color w:val="222222"/>
          <w:shd w:val="clear" w:color="auto" w:fill="FFFFFF"/>
        </w:rPr>
        <w:t>.</w:t>
      </w:r>
      <w:r w:rsidRPr="00A11E67">
        <w:rPr>
          <w:color w:val="222222"/>
          <w:shd w:val="clear" w:color="auto" w:fill="FFFFFF"/>
        </w:rPr>
        <w:t xml:space="preserve"> et al. Development of a database of landfills and dump sites in Asian countries. </w:t>
      </w:r>
      <w:r w:rsidRPr="00A11E67">
        <w:rPr>
          <w:b/>
          <w:bCs/>
          <w:color w:val="222222"/>
        </w:rPr>
        <w:t>Journal of Material Cycles and Waste Management</w:t>
      </w:r>
      <w:r w:rsidRPr="00A11E67">
        <w:rPr>
          <w:color w:val="222222"/>
          <w:shd w:val="clear" w:color="auto" w:fill="FFFFFF"/>
        </w:rPr>
        <w:t>, v. 6, n. 2, p. 97-103, 2004.</w:t>
      </w:r>
      <w:r>
        <w:rPr>
          <w:color w:val="222222"/>
          <w:shd w:val="clear" w:color="auto" w:fill="FFFFFF"/>
        </w:rPr>
        <w:t xml:space="preserve"> </w:t>
      </w:r>
      <w:r w:rsidRPr="00E83BAD">
        <w:rPr>
          <w:noProof/>
        </w:rPr>
        <w:t>doi:10.1007/s10163-004-0116-z</w:t>
      </w:r>
    </w:p>
    <w:p w14:paraId="4EEDBE41" w14:textId="77777777" w:rsidR="006200A5" w:rsidRPr="00E83BAD" w:rsidRDefault="006200A5" w:rsidP="00274E89">
      <w:pPr>
        <w:widowControl w:val="0"/>
        <w:autoSpaceDE w:val="0"/>
        <w:autoSpaceDN w:val="0"/>
        <w:adjustRightInd w:val="0"/>
        <w:jc w:val="both"/>
        <w:rPr>
          <w:noProof/>
        </w:rPr>
      </w:pPr>
    </w:p>
    <w:p w14:paraId="28975878" w14:textId="4145CE1A" w:rsidR="009A552F" w:rsidRDefault="008B4318" w:rsidP="00274E89">
      <w:pPr>
        <w:widowControl w:val="0"/>
        <w:autoSpaceDE w:val="0"/>
        <w:autoSpaceDN w:val="0"/>
        <w:adjustRightInd w:val="0"/>
        <w:jc w:val="both"/>
        <w:rPr>
          <w:noProof/>
        </w:rPr>
      </w:pPr>
      <w:r w:rsidRPr="00E83BAD">
        <w:rPr>
          <w:color w:val="212121"/>
        </w:rPr>
        <w:t>INTERGOVERNMENTAL PANEL ON CLIMATE CHANGE</w:t>
      </w:r>
      <w:r w:rsidR="00D07841" w:rsidRPr="00E83BAD">
        <w:rPr>
          <w:color w:val="212121"/>
        </w:rPr>
        <w:t xml:space="preserve"> (IPCC</w:t>
      </w:r>
      <w:proofErr w:type="gramStart"/>
      <w:r w:rsidR="00D07841" w:rsidRPr="00E83BAD">
        <w:rPr>
          <w:color w:val="212121"/>
        </w:rPr>
        <w:t>)</w:t>
      </w:r>
      <w:r w:rsidR="00D07841" w:rsidRPr="00E83BAD">
        <w:rPr>
          <w:noProof/>
        </w:rPr>
        <w:t>.</w:t>
      </w:r>
      <w:r w:rsidR="009A552F" w:rsidRPr="00E83BAD">
        <w:rPr>
          <w:i/>
          <w:noProof/>
        </w:rPr>
        <w:t>Task</w:t>
      </w:r>
      <w:proofErr w:type="gramEnd"/>
      <w:r w:rsidR="009A552F" w:rsidRPr="00E83BAD">
        <w:rPr>
          <w:i/>
          <w:noProof/>
        </w:rPr>
        <w:t xml:space="preserve"> Force on National Greenhouse Gas Inventories</w:t>
      </w:r>
      <w:r w:rsidR="009A552F" w:rsidRPr="00E83BAD">
        <w:rPr>
          <w:noProof/>
        </w:rPr>
        <w:t>.</w:t>
      </w:r>
      <w:r w:rsidR="00181A5B">
        <w:rPr>
          <w:noProof/>
        </w:rPr>
        <w:t xml:space="preserve"> 2017.</w:t>
      </w:r>
    </w:p>
    <w:p w14:paraId="0F0BC187" w14:textId="77777777" w:rsidR="006200A5" w:rsidRPr="00E83BAD" w:rsidRDefault="006200A5" w:rsidP="004A0F98">
      <w:pPr>
        <w:widowControl w:val="0"/>
        <w:autoSpaceDE w:val="0"/>
        <w:autoSpaceDN w:val="0"/>
        <w:adjustRightInd w:val="0"/>
        <w:jc w:val="both"/>
        <w:rPr>
          <w:noProof/>
        </w:rPr>
      </w:pPr>
    </w:p>
    <w:p w14:paraId="4CA1472A" w14:textId="61ECF721" w:rsidR="00181A5B" w:rsidRPr="00181A5B" w:rsidRDefault="00181A5B" w:rsidP="00A11E67">
      <w:pPr>
        <w:jc w:val="both"/>
      </w:pPr>
      <w:r w:rsidRPr="00A11E67">
        <w:rPr>
          <w:color w:val="222222"/>
          <w:shd w:val="clear" w:color="auto" w:fill="FFFFFF"/>
        </w:rPr>
        <w:t>KUMAR, V</w:t>
      </w:r>
      <w:r>
        <w:rPr>
          <w:color w:val="222222"/>
          <w:shd w:val="clear" w:color="auto" w:fill="FFFFFF"/>
        </w:rPr>
        <w:t>.</w:t>
      </w:r>
      <w:r w:rsidRPr="00A11E67">
        <w:rPr>
          <w:color w:val="222222"/>
          <w:shd w:val="clear" w:color="auto" w:fill="FFFFFF"/>
        </w:rPr>
        <w:t xml:space="preserve"> et al. Towards sustainable “product and material flow” cycles: identifying barriers to achieving product multi-use and zero waste. In: </w:t>
      </w:r>
      <w:r w:rsidRPr="00A11E67">
        <w:rPr>
          <w:b/>
          <w:bCs/>
          <w:color w:val="222222"/>
        </w:rPr>
        <w:t>ASME International Mechanical Engineering Congress and Exposition</w:t>
      </w:r>
      <w:r w:rsidRPr="00A11E67">
        <w:rPr>
          <w:color w:val="222222"/>
          <w:shd w:val="clear" w:color="auto" w:fill="FFFFFF"/>
        </w:rPr>
        <w:t>. 2005. p. 433-442.</w:t>
      </w:r>
    </w:p>
    <w:p w14:paraId="57FD09A6" w14:textId="77777777" w:rsidR="006200A5" w:rsidRPr="00E83BAD" w:rsidRDefault="006200A5" w:rsidP="00274E89">
      <w:pPr>
        <w:widowControl w:val="0"/>
        <w:autoSpaceDE w:val="0"/>
        <w:autoSpaceDN w:val="0"/>
        <w:adjustRightInd w:val="0"/>
        <w:jc w:val="both"/>
        <w:rPr>
          <w:noProof/>
        </w:rPr>
      </w:pPr>
    </w:p>
    <w:p w14:paraId="4FECE2BD" w14:textId="475077D1" w:rsidR="00181A5B" w:rsidRPr="00181A5B" w:rsidRDefault="00181A5B" w:rsidP="00A11E67">
      <w:pPr>
        <w:jc w:val="both"/>
      </w:pPr>
      <w:r w:rsidRPr="00A11E67">
        <w:rPr>
          <w:color w:val="222222"/>
          <w:shd w:val="clear" w:color="auto" w:fill="FFFFFF"/>
        </w:rPr>
        <w:t>MARSHALL, R</w:t>
      </w:r>
      <w:r>
        <w:rPr>
          <w:color w:val="222222"/>
          <w:shd w:val="clear" w:color="auto" w:fill="FFFFFF"/>
        </w:rPr>
        <w:t>.</w:t>
      </w:r>
      <w:r w:rsidRPr="00A11E67">
        <w:rPr>
          <w:color w:val="222222"/>
          <w:shd w:val="clear" w:color="auto" w:fill="FFFFFF"/>
        </w:rPr>
        <w:t xml:space="preserve"> E.; FARAHBAKHSH, K. Systems approaches to integrated solid waste management in developing countries. </w:t>
      </w:r>
      <w:r w:rsidRPr="00A11E67">
        <w:rPr>
          <w:b/>
          <w:bCs/>
          <w:color w:val="222222"/>
        </w:rPr>
        <w:t>Waste management</w:t>
      </w:r>
      <w:r w:rsidRPr="00A11E67">
        <w:rPr>
          <w:color w:val="222222"/>
          <w:shd w:val="clear" w:color="auto" w:fill="FFFFFF"/>
        </w:rPr>
        <w:t>, v. 33, n. 4, p. 988-1003, 2013.</w:t>
      </w:r>
    </w:p>
    <w:p w14:paraId="2F380EA8" w14:textId="77777777" w:rsidR="006200A5" w:rsidRPr="00E83BAD" w:rsidRDefault="006200A5" w:rsidP="00274E89">
      <w:pPr>
        <w:widowControl w:val="0"/>
        <w:autoSpaceDE w:val="0"/>
        <w:autoSpaceDN w:val="0"/>
        <w:adjustRightInd w:val="0"/>
        <w:jc w:val="both"/>
        <w:rPr>
          <w:noProof/>
        </w:rPr>
      </w:pPr>
    </w:p>
    <w:p w14:paraId="0E0D76C3" w14:textId="74DDB459" w:rsidR="00181A5B" w:rsidRPr="00181A5B" w:rsidRDefault="00181A5B" w:rsidP="00A11E67">
      <w:pPr>
        <w:jc w:val="both"/>
      </w:pPr>
      <w:r w:rsidRPr="00A11E67">
        <w:rPr>
          <w:color w:val="222222"/>
          <w:shd w:val="clear" w:color="auto" w:fill="FFFFFF"/>
        </w:rPr>
        <w:t>MICHAELOWA, A. Strengths and weaknesses of the CDM in comparison with new and emerging market mechanisms. </w:t>
      </w:r>
      <w:r w:rsidRPr="00A11E67">
        <w:rPr>
          <w:b/>
          <w:bCs/>
          <w:color w:val="222222"/>
        </w:rPr>
        <w:t>Perspectives GmbH</w:t>
      </w:r>
      <w:r w:rsidRPr="00A11E67">
        <w:rPr>
          <w:color w:val="222222"/>
          <w:shd w:val="clear" w:color="auto" w:fill="FFFFFF"/>
        </w:rPr>
        <w:t>, 2012.</w:t>
      </w:r>
    </w:p>
    <w:p w14:paraId="01476AB3" w14:textId="77777777" w:rsidR="006200A5" w:rsidRPr="00A11E67" w:rsidRDefault="006200A5" w:rsidP="00274E89">
      <w:pPr>
        <w:widowControl w:val="0"/>
        <w:autoSpaceDE w:val="0"/>
        <w:autoSpaceDN w:val="0"/>
        <w:adjustRightInd w:val="0"/>
        <w:jc w:val="both"/>
        <w:rPr>
          <w:noProof/>
        </w:rPr>
      </w:pPr>
    </w:p>
    <w:p w14:paraId="32D5EEBA" w14:textId="377103E6" w:rsidR="009633DA" w:rsidRPr="009633DA" w:rsidRDefault="009633DA" w:rsidP="00A11E67">
      <w:pPr>
        <w:jc w:val="both"/>
      </w:pPr>
      <w:r w:rsidRPr="00A11E67">
        <w:rPr>
          <w:color w:val="222222"/>
          <w:shd w:val="clear" w:color="auto" w:fill="FFFFFF"/>
        </w:rPr>
        <w:t>OLANDER, J</w:t>
      </w:r>
      <w:r w:rsidRPr="00A11E67">
        <w:rPr>
          <w:color w:val="222222"/>
          <w:shd w:val="clear" w:color="auto" w:fill="FFFFFF"/>
        </w:rPr>
        <w:t>.</w:t>
      </w:r>
      <w:r w:rsidRPr="00A11E67">
        <w:rPr>
          <w:color w:val="222222"/>
          <w:shd w:val="clear" w:color="auto" w:fill="FFFFFF"/>
        </w:rPr>
        <w:t xml:space="preserve"> et al. Building forest carbon projects. A step-by-step overview and guide. 2010.</w:t>
      </w:r>
    </w:p>
    <w:p w14:paraId="28159EA2" w14:textId="77777777" w:rsidR="006200A5" w:rsidRPr="00E83BAD" w:rsidRDefault="006200A5" w:rsidP="00274E89">
      <w:pPr>
        <w:widowControl w:val="0"/>
        <w:autoSpaceDE w:val="0"/>
        <w:autoSpaceDN w:val="0"/>
        <w:adjustRightInd w:val="0"/>
        <w:jc w:val="both"/>
        <w:rPr>
          <w:noProof/>
        </w:rPr>
      </w:pPr>
    </w:p>
    <w:p w14:paraId="2ABC020B" w14:textId="51A9E2F6" w:rsidR="009633DA" w:rsidRPr="009633DA" w:rsidRDefault="009633DA" w:rsidP="00A11E67">
      <w:pPr>
        <w:jc w:val="both"/>
      </w:pPr>
      <w:r w:rsidRPr="00A11E67">
        <w:rPr>
          <w:color w:val="222222"/>
          <w:shd w:val="clear" w:color="auto" w:fill="FFFFFF"/>
        </w:rPr>
        <w:t>OLIVEIRA, L</w:t>
      </w:r>
      <w:r>
        <w:rPr>
          <w:color w:val="222222"/>
          <w:shd w:val="clear" w:color="auto" w:fill="FFFFFF"/>
        </w:rPr>
        <w:t>.</w:t>
      </w:r>
      <w:r w:rsidRPr="00A11E67">
        <w:rPr>
          <w:color w:val="222222"/>
          <w:shd w:val="clear" w:color="auto" w:fill="FFFFFF"/>
        </w:rPr>
        <w:t xml:space="preserve"> B</w:t>
      </w:r>
      <w:r>
        <w:rPr>
          <w:color w:val="222222"/>
          <w:shd w:val="clear" w:color="auto" w:fill="FFFFFF"/>
        </w:rPr>
        <w:t>.</w:t>
      </w:r>
      <w:r w:rsidRPr="00A11E67">
        <w:rPr>
          <w:color w:val="222222"/>
          <w:shd w:val="clear" w:color="auto" w:fill="FFFFFF"/>
        </w:rPr>
        <w:t>; HENRIQUES, R</w:t>
      </w:r>
      <w:r>
        <w:rPr>
          <w:color w:val="222222"/>
          <w:shd w:val="clear" w:color="auto" w:fill="FFFFFF"/>
        </w:rPr>
        <w:t>.</w:t>
      </w:r>
      <w:r w:rsidRPr="00A11E67">
        <w:rPr>
          <w:color w:val="222222"/>
          <w:shd w:val="clear" w:color="auto" w:fill="FFFFFF"/>
        </w:rPr>
        <w:t xml:space="preserve"> M</w:t>
      </w:r>
      <w:r>
        <w:rPr>
          <w:color w:val="222222"/>
          <w:shd w:val="clear" w:color="auto" w:fill="FFFFFF"/>
        </w:rPr>
        <w:t>.</w:t>
      </w:r>
      <w:r w:rsidRPr="00A11E67">
        <w:rPr>
          <w:color w:val="222222"/>
          <w:shd w:val="clear" w:color="auto" w:fill="FFFFFF"/>
        </w:rPr>
        <w:t>; PEREIRA JR, A</w:t>
      </w:r>
      <w:r>
        <w:rPr>
          <w:color w:val="222222"/>
          <w:shd w:val="clear" w:color="auto" w:fill="FFFFFF"/>
        </w:rPr>
        <w:t xml:space="preserve">. </w:t>
      </w:r>
      <w:r w:rsidRPr="00A11E67">
        <w:rPr>
          <w:color w:val="222222"/>
          <w:shd w:val="clear" w:color="auto" w:fill="FFFFFF"/>
        </w:rPr>
        <w:t>O. Use of wastes as option for the mitigation of CO2 emissions in the Brazilian power sector. </w:t>
      </w:r>
      <w:r w:rsidRPr="00A11E67">
        <w:rPr>
          <w:b/>
          <w:bCs/>
          <w:color w:val="222222"/>
        </w:rPr>
        <w:t>Renewable and Sustainable Energy Reviews</w:t>
      </w:r>
      <w:r w:rsidRPr="00A11E67">
        <w:rPr>
          <w:color w:val="222222"/>
          <w:shd w:val="clear" w:color="auto" w:fill="FFFFFF"/>
        </w:rPr>
        <w:t>, v. 14, n. 9, p. 3247-3251, 2010.</w:t>
      </w:r>
    </w:p>
    <w:p w14:paraId="45B1F335" w14:textId="77777777" w:rsidR="006200A5" w:rsidRPr="00E83BAD" w:rsidRDefault="006200A5" w:rsidP="00274E89">
      <w:pPr>
        <w:widowControl w:val="0"/>
        <w:autoSpaceDE w:val="0"/>
        <w:autoSpaceDN w:val="0"/>
        <w:adjustRightInd w:val="0"/>
        <w:jc w:val="both"/>
        <w:rPr>
          <w:noProof/>
        </w:rPr>
      </w:pPr>
    </w:p>
    <w:p w14:paraId="75CB4615" w14:textId="16E40A98" w:rsidR="009633DA" w:rsidRPr="009633DA" w:rsidRDefault="009633DA" w:rsidP="00A11E67">
      <w:pPr>
        <w:jc w:val="both"/>
      </w:pPr>
      <w:r w:rsidRPr="00A11E67">
        <w:rPr>
          <w:color w:val="222222"/>
          <w:shd w:val="clear" w:color="auto" w:fill="FFFFFF"/>
        </w:rPr>
        <w:t>PEARCE, D</w:t>
      </w:r>
      <w:r>
        <w:rPr>
          <w:color w:val="222222"/>
          <w:shd w:val="clear" w:color="auto" w:fill="FFFFFF"/>
        </w:rPr>
        <w:t>.</w:t>
      </w:r>
      <w:r w:rsidRPr="00A11E67">
        <w:rPr>
          <w:color w:val="222222"/>
          <w:shd w:val="clear" w:color="auto" w:fill="FFFFFF"/>
        </w:rPr>
        <w:t xml:space="preserve"> W.; TURNER, R. K. </w:t>
      </w:r>
      <w:r w:rsidRPr="00A11E67">
        <w:rPr>
          <w:b/>
          <w:bCs/>
          <w:color w:val="222222"/>
        </w:rPr>
        <w:t>Economics of natural resources and the environment</w:t>
      </w:r>
      <w:r w:rsidRPr="00A11E67">
        <w:rPr>
          <w:color w:val="222222"/>
          <w:shd w:val="clear" w:color="auto" w:fill="FFFFFF"/>
        </w:rPr>
        <w:t>. JHU press, 1990.</w:t>
      </w:r>
    </w:p>
    <w:p w14:paraId="176525F6" w14:textId="77777777" w:rsidR="006200A5" w:rsidRPr="00E83BAD" w:rsidRDefault="006200A5" w:rsidP="00274E89">
      <w:pPr>
        <w:widowControl w:val="0"/>
        <w:autoSpaceDE w:val="0"/>
        <w:autoSpaceDN w:val="0"/>
        <w:adjustRightInd w:val="0"/>
        <w:jc w:val="both"/>
        <w:rPr>
          <w:noProof/>
        </w:rPr>
      </w:pPr>
    </w:p>
    <w:p w14:paraId="049785DD" w14:textId="1E38D50D" w:rsidR="009633DA" w:rsidRPr="009633DA" w:rsidRDefault="009633DA" w:rsidP="00A11E67">
      <w:pPr>
        <w:jc w:val="both"/>
      </w:pPr>
      <w:r w:rsidRPr="00A11E67">
        <w:rPr>
          <w:color w:val="222222"/>
          <w:shd w:val="clear" w:color="auto" w:fill="FFFFFF"/>
        </w:rPr>
        <w:lastRenderedPageBreak/>
        <w:t>PLÖCHL, C</w:t>
      </w:r>
      <w:r w:rsidR="00E60B32">
        <w:rPr>
          <w:color w:val="222222"/>
          <w:shd w:val="clear" w:color="auto" w:fill="FFFFFF"/>
        </w:rPr>
        <w:t>.</w:t>
      </w:r>
      <w:r w:rsidRPr="00A11E67">
        <w:rPr>
          <w:color w:val="222222"/>
          <w:shd w:val="clear" w:color="auto" w:fill="FFFFFF"/>
        </w:rPr>
        <w:t>; WETZER, W</w:t>
      </w:r>
      <w:r w:rsidR="00E60B32">
        <w:rPr>
          <w:color w:val="222222"/>
          <w:shd w:val="clear" w:color="auto" w:fill="FFFFFF"/>
        </w:rPr>
        <w:t>.</w:t>
      </w:r>
      <w:r w:rsidRPr="00A11E67">
        <w:rPr>
          <w:color w:val="222222"/>
          <w:shd w:val="clear" w:color="auto" w:fill="FFFFFF"/>
        </w:rPr>
        <w:t xml:space="preserve">; </w:t>
      </w:r>
      <w:proofErr w:type="spellStart"/>
      <w:r w:rsidRPr="00A11E67">
        <w:rPr>
          <w:color w:val="222222"/>
          <w:shd w:val="clear" w:color="auto" w:fill="FFFFFF"/>
        </w:rPr>
        <w:t>RAGOßNIG</w:t>
      </w:r>
      <w:proofErr w:type="spellEnd"/>
      <w:r w:rsidRPr="00A11E67">
        <w:rPr>
          <w:color w:val="222222"/>
          <w:shd w:val="clear" w:color="auto" w:fill="FFFFFF"/>
        </w:rPr>
        <w:t xml:space="preserve">, A. Clean development mechanism: an incentive for waste management </w:t>
      </w:r>
      <w:r w:rsidR="004A0F98" w:rsidRPr="004A0F98">
        <w:rPr>
          <w:color w:val="222222"/>
          <w:shd w:val="clear" w:color="auto" w:fill="FFFFFF"/>
        </w:rPr>
        <w:t>projects?</w:t>
      </w:r>
      <w:r w:rsidRPr="00A11E67">
        <w:rPr>
          <w:color w:val="222222"/>
          <w:shd w:val="clear" w:color="auto" w:fill="FFFFFF"/>
        </w:rPr>
        <w:t> </w:t>
      </w:r>
      <w:r w:rsidRPr="00A11E67">
        <w:rPr>
          <w:b/>
          <w:bCs/>
          <w:color w:val="222222"/>
        </w:rPr>
        <w:t>Waste Management &amp; Research</w:t>
      </w:r>
      <w:r w:rsidRPr="00A11E67">
        <w:rPr>
          <w:color w:val="222222"/>
          <w:shd w:val="clear" w:color="auto" w:fill="FFFFFF"/>
        </w:rPr>
        <w:t>, v. 26, n. 1, p. 104-110, 2008.</w:t>
      </w:r>
    </w:p>
    <w:p w14:paraId="5A4886E7" w14:textId="7CD4F609" w:rsidR="009A552F" w:rsidRPr="00A11E67" w:rsidRDefault="009A552F" w:rsidP="00E60B32">
      <w:pPr>
        <w:widowControl w:val="0"/>
        <w:autoSpaceDE w:val="0"/>
        <w:autoSpaceDN w:val="0"/>
        <w:adjustRightInd w:val="0"/>
        <w:jc w:val="both"/>
        <w:rPr>
          <w:noProof/>
        </w:rPr>
      </w:pPr>
      <w:r w:rsidRPr="00A11E67">
        <w:rPr>
          <w:noProof/>
        </w:rPr>
        <w:t>doi</w:t>
      </w:r>
      <w:r w:rsidR="00661E98" w:rsidRPr="00A11E67">
        <w:rPr>
          <w:noProof/>
        </w:rPr>
        <w:t>:</w:t>
      </w:r>
      <w:r w:rsidRPr="00A11E67">
        <w:rPr>
          <w:noProof/>
        </w:rPr>
        <w:t>10.1177/0734242X07087947</w:t>
      </w:r>
      <w:r w:rsidR="00661E98" w:rsidRPr="00A11E67">
        <w:rPr>
          <w:noProof/>
        </w:rPr>
        <w:t>.</w:t>
      </w:r>
    </w:p>
    <w:p w14:paraId="6FE73CFB" w14:textId="77777777" w:rsidR="006200A5" w:rsidRPr="00A11E67" w:rsidRDefault="006200A5" w:rsidP="00274E89">
      <w:pPr>
        <w:widowControl w:val="0"/>
        <w:autoSpaceDE w:val="0"/>
        <w:autoSpaceDN w:val="0"/>
        <w:adjustRightInd w:val="0"/>
        <w:jc w:val="both"/>
        <w:rPr>
          <w:noProof/>
        </w:rPr>
      </w:pPr>
    </w:p>
    <w:p w14:paraId="44368685" w14:textId="6C02B402" w:rsidR="00E60B32" w:rsidRPr="00E60B32" w:rsidRDefault="00E60B32" w:rsidP="00A11E67">
      <w:pPr>
        <w:jc w:val="both"/>
      </w:pPr>
      <w:r w:rsidRPr="00A11E67">
        <w:rPr>
          <w:color w:val="222222"/>
          <w:shd w:val="clear" w:color="auto" w:fill="FFFFFF"/>
        </w:rPr>
        <w:t>CARBON, P. Carry-over of AAUs from CP1 to CP2–Future Implications for the Climate Regime. </w:t>
      </w:r>
      <w:r w:rsidRPr="00A11E67">
        <w:rPr>
          <w:b/>
          <w:bCs/>
          <w:color w:val="222222"/>
        </w:rPr>
        <w:t>Thomson Reuters</w:t>
      </w:r>
      <w:r w:rsidRPr="00A11E67">
        <w:rPr>
          <w:color w:val="222222"/>
          <w:shd w:val="clear" w:color="auto" w:fill="FFFFFF"/>
        </w:rPr>
        <w:t>, 2012.</w:t>
      </w:r>
    </w:p>
    <w:p w14:paraId="55090AEB" w14:textId="77777777" w:rsidR="006200A5" w:rsidRPr="00A11E67" w:rsidRDefault="006200A5" w:rsidP="00E60B32">
      <w:pPr>
        <w:widowControl w:val="0"/>
        <w:autoSpaceDE w:val="0"/>
        <w:autoSpaceDN w:val="0"/>
        <w:adjustRightInd w:val="0"/>
        <w:jc w:val="both"/>
        <w:rPr>
          <w:noProof/>
        </w:rPr>
      </w:pPr>
    </w:p>
    <w:p w14:paraId="721ED08C" w14:textId="75B41C9E" w:rsidR="009A552F" w:rsidRPr="00274E89" w:rsidRDefault="006200A5" w:rsidP="00A11E67">
      <w:pPr>
        <w:jc w:val="both"/>
      </w:pPr>
      <w:r w:rsidRPr="00A11E67">
        <w:rPr>
          <w:noProof/>
        </w:rPr>
        <w:t>RAHMAN, F. A</w:t>
      </w:r>
      <w:r w:rsidR="009A552F" w:rsidRPr="00A11E67">
        <w:rPr>
          <w:noProof/>
        </w:rPr>
        <w:t>.</w:t>
      </w:r>
      <w:r w:rsidR="00E60B32" w:rsidRPr="00A11E67">
        <w:rPr>
          <w:noProof/>
        </w:rPr>
        <w:t xml:space="preserve">; </w:t>
      </w:r>
      <w:r w:rsidR="00E60B32" w:rsidRPr="00A11E67">
        <w:rPr>
          <w:color w:val="222222"/>
          <w:shd w:val="clear" w:color="auto" w:fill="FFFFFF"/>
        </w:rPr>
        <w:t>RAHMAN, F</w:t>
      </w:r>
      <w:r w:rsidR="00E60B32" w:rsidRPr="00A11E67">
        <w:rPr>
          <w:color w:val="222222"/>
          <w:shd w:val="clear" w:color="auto" w:fill="FFFFFF"/>
        </w:rPr>
        <w:t>. A.</w:t>
      </w:r>
      <w:r w:rsidR="00E60B32" w:rsidRPr="00A11E67">
        <w:rPr>
          <w:color w:val="222222"/>
          <w:shd w:val="clear" w:color="auto" w:fill="FFFFFF"/>
        </w:rPr>
        <w:t>; WRIGHT, S</w:t>
      </w:r>
      <w:r w:rsidR="00E60B32" w:rsidRPr="00A11E67">
        <w:rPr>
          <w:color w:val="222222"/>
          <w:shd w:val="clear" w:color="auto" w:fill="FFFFFF"/>
        </w:rPr>
        <w:t>.</w:t>
      </w:r>
      <w:r w:rsidR="00E60B32" w:rsidRPr="00A11E67">
        <w:rPr>
          <w:color w:val="222222"/>
          <w:shd w:val="clear" w:color="auto" w:fill="FFFFFF"/>
        </w:rPr>
        <w:t xml:space="preserve"> E. Reduce, reuse, </w:t>
      </w:r>
      <w:r w:rsidR="00E60B32" w:rsidRPr="00A11E67">
        <w:rPr>
          <w:color w:val="222222"/>
          <w:shd w:val="clear" w:color="auto" w:fill="FFFFFF"/>
        </w:rPr>
        <w:t>recycle</w:t>
      </w:r>
      <w:r w:rsidR="00E60B32" w:rsidRPr="00A11E67">
        <w:rPr>
          <w:color w:val="222222"/>
          <w:shd w:val="clear" w:color="auto" w:fill="FFFFFF"/>
        </w:rPr>
        <w:t xml:space="preserve"> alternatives for waste management. 2014</w:t>
      </w:r>
      <w:r w:rsidR="009A552F" w:rsidRPr="00A11E67">
        <w:rPr>
          <w:noProof/>
        </w:rPr>
        <w:t>. Reduce, Reuse, Recycle : Alternatives for Waste Management. NM State University</w:t>
      </w:r>
      <w:r w:rsidR="009A552F" w:rsidRPr="00E60B32">
        <w:rPr>
          <w:noProof/>
        </w:rPr>
        <w:t>.</w:t>
      </w:r>
    </w:p>
    <w:p w14:paraId="06BC7713" w14:textId="77777777" w:rsidR="006200A5" w:rsidRPr="00E83BAD" w:rsidRDefault="006200A5" w:rsidP="00274E89">
      <w:pPr>
        <w:widowControl w:val="0"/>
        <w:autoSpaceDE w:val="0"/>
        <w:autoSpaceDN w:val="0"/>
        <w:adjustRightInd w:val="0"/>
        <w:jc w:val="both"/>
        <w:rPr>
          <w:noProof/>
        </w:rPr>
      </w:pPr>
    </w:p>
    <w:p w14:paraId="23337B41" w14:textId="2CC56287" w:rsidR="009A552F" w:rsidRDefault="006200A5" w:rsidP="00414BE6">
      <w:pPr>
        <w:widowControl w:val="0"/>
        <w:autoSpaceDE w:val="0"/>
        <w:autoSpaceDN w:val="0"/>
        <w:adjustRightInd w:val="0"/>
        <w:jc w:val="both"/>
        <w:rPr>
          <w:noProof/>
        </w:rPr>
      </w:pPr>
      <w:r w:rsidRPr="00E83BAD">
        <w:rPr>
          <w:noProof/>
        </w:rPr>
        <w:t>SHELL</w:t>
      </w:r>
      <w:r w:rsidR="009A552F" w:rsidRPr="00E83BAD">
        <w:rPr>
          <w:noProof/>
        </w:rPr>
        <w:t>.</w:t>
      </w:r>
      <w:r w:rsidR="00661E98" w:rsidRPr="00E83BAD">
        <w:rPr>
          <w:noProof/>
        </w:rPr>
        <w:t xml:space="preserve"> </w:t>
      </w:r>
      <w:r w:rsidR="00661E98" w:rsidRPr="00A11E67">
        <w:rPr>
          <w:iCs/>
          <w:noProof/>
        </w:rPr>
        <w:t>Ten years of the EU ETS</w:t>
      </w:r>
      <w:r w:rsidR="00661E98" w:rsidRPr="00E83BAD">
        <w:rPr>
          <w:noProof/>
        </w:rPr>
        <w:t>.</w:t>
      </w:r>
      <w:r w:rsidR="009A552F" w:rsidRPr="00E83BAD">
        <w:rPr>
          <w:noProof/>
        </w:rPr>
        <w:t xml:space="preserve"> Shell Climate Change.</w:t>
      </w:r>
      <w:r w:rsidR="00E60B32">
        <w:rPr>
          <w:noProof/>
        </w:rPr>
        <w:t xml:space="preserve"> 2015.</w:t>
      </w:r>
    </w:p>
    <w:p w14:paraId="759A0331" w14:textId="77777777" w:rsidR="006200A5" w:rsidRPr="00E83BAD" w:rsidRDefault="006200A5" w:rsidP="00A11E67">
      <w:pPr>
        <w:widowControl w:val="0"/>
        <w:autoSpaceDE w:val="0"/>
        <w:autoSpaceDN w:val="0"/>
        <w:adjustRightInd w:val="0"/>
        <w:jc w:val="both"/>
        <w:rPr>
          <w:noProof/>
        </w:rPr>
      </w:pPr>
    </w:p>
    <w:p w14:paraId="090C31C7" w14:textId="0109E82E" w:rsidR="009A552F" w:rsidRPr="00A11E67" w:rsidRDefault="00E60B32" w:rsidP="00A11E67">
      <w:pPr>
        <w:jc w:val="both"/>
      </w:pPr>
      <w:r w:rsidRPr="00A11E67">
        <w:rPr>
          <w:color w:val="222222"/>
          <w:shd w:val="clear" w:color="auto" w:fill="FFFFFF"/>
        </w:rPr>
        <w:t>SINGH, J</w:t>
      </w:r>
      <w:r>
        <w:rPr>
          <w:color w:val="222222"/>
          <w:shd w:val="clear" w:color="auto" w:fill="FFFFFF"/>
        </w:rPr>
        <w:t>.</w:t>
      </w:r>
      <w:r w:rsidRPr="00A11E67">
        <w:rPr>
          <w:color w:val="222222"/>
          <w:shd w:val="clear" w:color="auto" w:fill="FFFFFF"/>
        </w:rPr>
        <w:t xml:space="preserve"> et al. Progress and challenges to the global waste management system.</w:t>
      </w:r>
      <w:r w:rsidRPr="00A11E67">
        <w:rPr>
          <w:rStyle w:val="apple-converted-space"/>
          <w:color w:val="222222"/>
          <w:shd w:val="clear" w:color="auto" w:fill="FFFFFF"/>
        </w:rPr>
        <w:t> </w:t>
      </w:r>
      <w:r w:rsidRPr="00A11E67">
        <w:rPr>
          <w:b/>
          <w:bCs/>
          <w:color w:val="222222"/>
        </w:rPr>
        <w:t>Waste Management &amp; Research</w:t>
      </w:r>
      <w:r w:rsidRPr="00A11E67">
        <w:rPr>
          <w:color w:val="222222"/>
          <w:shd w:val="clear" w:color="auto" w:fill="FFFFFF"/>
        </w:rPr>
        <w:t>, v. 32, n. 9, p. 800-812, 2014.</w:t>
      </w:r>
      <w:r w:rsidR="00661E98" w:rsidRPr="00A11E67">
        <w:rPr>
          <w:noProof/>
        </w:rPr>
        <w:t xml:space="preserve"> </w:t>
      </w:r>
      <w:r w:rsidR="009A552F" w:rsidRPr="00A11E67">
        <w:rPr>
          <w:noProof/>
        </w:rPr>
        <w:t>doi</w:t>
      </w:r>
      <w:r w:rsidR="00661E98" w:rsidRPr="00A11E67">
        <w:rPr>
          <w:noProof/>
        </w:rPr>
        <w:t>:1</w:t>
      </w:r>
      <w:r w:rsidR="009A552F" w:rsidRPr="00A11E67">
        <w:rPr>
          <w:noProof/>
        </w:rPr>
        <w:t>0.1177/0734242X14537868.</w:t>
      </w:r>
    </w:p>
    <w:p w14:paraId="3C1A7CE7" w14:textId="77777777" w:rsidR="006200A5" w:rsidRPr="00E83BAD" w:rsidRDefault="006200A5" w:rsidP="00274E89">
      <w:pPr>
        <w:widowControl w:val="0"/>
        <w:autoSpaceDE w:val="0"/>
        <w:autoSpaceDN w:val="0"/>
        <w:adjustRightInd w:val="0"/>
        <w:jc w:val="both"/>
        <w:rPr>
          <w:noProof/>
        </w:rPr>
      </w:pPr>
    </w:p>
    <w:p w14:paraId="33DE4582" w14:textId="741CCB81" w:rsidR="009A552F" w:rsidRDefault="009A552F" w:rsidP="00414BE6">
      <w:pPr>
        <w:widowControl w:val="0"/>
        <w:autoSpaceDE w:val="0"/>
        <w:autoSpaceDN w:val="0"/>
        <w:adjustRightInd w:val="0"/>
        <w:jc w:val="both"/>
        <w:rPr>
          <w:noProof/>
        </w:rPr>
      </w:pPr>
      <w:r w:rsidRPr="00E83BAD">
        <w:rPr>
          <w:noProof/>
        </w:rPr>
        <w:t xml:space="preserve">UNEP. </w:t>
      </w:r>
      <w:r w:rsidRPr="00A11E67">
        <w:rPr>
          <w:noProof/>
        </w:rPr>
        <w:t>Global Waste Management Outlook</w:t>
      </w:r>
      <w:r w:rsidRPr="00E60B32">
        <w:rPr>
          <w:noProof/>
        </w:rPr>
        <w:t xml:space="preserve">. </w:t>
      </w:r>
      <w:r w:rsidR="00E60B32">
        <w:rPr>
          <w:noProof/>
        </w:rPr>
        <w:t xml:space="preserve">2015. </w:t>
      </w:r>
      <w:r w:rsidRPr="00E83BAD">
        <w:rPr>
          <w:noProof/>
        </w:rPr>
        <w:t>doi</w:t>
      </w:r>
      <w:r w:rsidR="00661E98" w:rsidRPr="00E83BAD">
        <w:rPr>
          <w:noProof/>
        </w:rPr>
        <w:t>:</w:t>
      </w:r>
      <w:r w:rsidRPr="00E83BAD">
        <w:rPr>
          <w:noProof/>
        </w:rPr>
        <w:t>10.1177/0734242X15616055.</w:t>
      </w:r>
    </w:p>
    <w:p w14:paraId="49CE169F" w14:textId="77777777" w:rsidR="006200A5" w:rsidRPr="00E83BAD" w:rsidRDefault="006200A5" w:rsidP="00A11E67">
      <w:pPr>
        <w:widowControl w:val="0"/>
        <w:autoSpaceDE w:val="0"/>
        <w:autoSpaceDN w:val="0"/>
        <w:adjustRightInd w:val="0"/>
        <w:jc w:val="both"/>
        <w:rPr>
          <w:noProof/>
        </w:rPr>
      </w:pPr>
    </w:p>
    <w:p w14:paraId="711D5820" w14:textId="0FB806CF" w:rsidR="009A552F" w:rsidRPr="00E60B32" w:rsidRDefault="009A552F" w:rsidP="00A11E67">
      <w:pPr>
        <w:widowControl w:val="0"/>
        <w:autoSpaceDE w:val="0"/>
        <w:autoSpaceDN w:val="0"/>
        <w:adjustRightInd w:val="0"/>
        <w:jc w:val="both"/>
        <w:rPr>
          <w:noProof/>
        </w:rPr>
      </w:pPr>
      <w:r w:rsidRPr="00E83BAD">
        <w:rPr>
          <w:noProof/>
        </w:rPr>
        <w:t xml:space="preserve">UNFCCC. </w:t>
      </w:r>
      <w:r w:rsidRPr="00A11E67">
        <w:rPr>
          <w:noProof/>
        </w:rPr>
        <w:t>Investment and financial flows to address climate change: an update</w:t>
      </w:r>
      <w:r w:rsidR="00661E98" w:rsidRPr="00E60B32">
        <w:rPr>
          <w:noProof/>
        </w:rPr>
        <w:t xml:space="preserve">, </w:t>
      </w:r>
      <w:r w:rsidRPr="00E60B32">
        <w:rPr>
          <w:noProof/>
        </w:rPr>
        <w:t>Tec</w:t>
      </w:r>
      <w:r w:rsidR="00661E98" w:rsidRPr="00E60B32">
        <w:rPr>
          <w:noProof/>
        </w:rPr>
        <w:t>hnical Paper No. FCCC/TP/2008/7</w:t>
      </w:r>
      <w:r w:rsidRPr="00E60B32">
        <w:rPr>
          <w:noProof/>
        </w:rPr>
        <w:t>.</w:t>
      </w:r>
      <w:r w:rsidR="00E60B32">
        <w:rPr>
          <w:noProof/>
        </w:rPr>
        <w:t xml:space="preserve"> 2008.</w:t>
      </w:r>
    </w:p>
    <w:p w14:paraId="6D82557C" w14:textId="77777777" w:rsidR="006200A5" w:rsidRPr="00E83BAD" w:rsidRDefault="006200A5" w:rsidP="00A11E67">
      <w:pPr>
        <w:widowControl w:val="0"/>
        <w:autoSpaceDE w:val="0"/>
        <w:autoSpaceDN w:val="0"/>
        <w:adjustRightInd w:val="0"/>
        <w:jc w:val="both"/>
        <w:rPr>
          <w:noProof/>
        </w:rPr>
      </w:pPr>
    </w:p>
    <w:p w14:paraId="0DCAC3E8" w14:textId="24E750A9" w:rsidR="009A552F" w:rsidRDefault="009A552F" w:rsidP="00A11E67">
      <w:pPr>
        <w:widowControl w:val="0"/>
        <w:autoSpaceDE w:val="0"/>
        <w:autoSpaceDN w:val="0"/>
        <w:adjustRightInd w:val="0"/>
        <w:jc w:val="both"/>
        <w:rPr>
          <w:noProof/>
        </w:rPr>
      </w:pPr>
      <w:r w:rsidRPr="00E83BAD">
        <w:rPr>
          <w:noProof/>
        </w:rPr>
        <w:t xml:space="preserve">UNFCCC. </w:t>
      </w:r>
      <w:r w:rsidRPr="00E83BAD">
        <w:rPr>
          <w:iCs/>
          <w:noProof/>
        </w:rPr>
        <w:t xml:space="preserve">CDM – </w:t>
      </w:r>
      <w:r w:rsidR="00E60B32">
        <w:rPr>
          <w:iCs/>
          <w:noProof/>
        </w:rPr>
        <w:t>E</w:t>
      </w:r>
      <w:r w:rsidR="00661E98" w:rsidRPr="00E83BAD">
        <w:rPr>
          <w:iCs/>
          <w:noProof/>
        </w:rPr>
        <w:t>xecutive board annex 5: guidelines on the assessment of investment analysis</w:t>
      </w:r>
      <w:r w:rsidRPr="00E83BAD">
        <w:rPr>
          <w:noProof/>
        </w:rPr>
        <w:t>.</w:t>
      </w:r>
      <w:r w:rsidR="00E60B32">
        <w:rPr>
          <w:noProof/>
        </w:rPr>
        <w:t xml:space="preserve"> 2011.</w:t>
      </w:r>
    </w:p>
    <w:p w14:paraId="416DA469" w14:textId="77777777" w:rsidR="006200A5" w:rsidRPr="00E83BAD" w:rsidRDefault="006200A5" w:rsidP="00A11E67">
      <w:pPr>
        <w:widowControl w:val="0"/>
        <w:autoSpaceDE w:val="0"/>
        <w:autoSpaceDN w:val="0"/>
        <w:adjustRightInd w:val="0"/>
        <w:jc w:val="both"/>
        <w:rPr>
          <w:noProof/>
        </w:rPr>
      </w:pPr>
    </w:p>
    <w:p w14:paraId="36CA4D8F" w14:textId="590E2734" w:rsidR="009A552F" w:rsidRDefault="009A552F" w:rsidP="00A11E67">
      <w:pPr>
        <w:widowControl w:val="0"/>
        <w:autoSpaceDE w:val="0"/>
        <w:autoSpaceDN w:val="0"/>
        <w:adjustRightInd w:val="0"/>
        <w:jc w:val="both"/>
        <w:rPr>
          <w:noProof/>
        </w:rPr>
      </w:pPr>
      <w:r w:rsidRPr="00E83BAD">
        <w:rPr>
          <w:noProof/>
        </w:rPr>
        <w:t>UNFCCC. Methodological tool Combined tool to identify the baseline scenario and demonstrate additionality.</w:t>
      </w:r>
      <w:r w:rsidR="00E60B32">
        <w:rPr>
          <w:noProof/>
        </w:rPr>
        <w:t xml:space="preserve"> 2012.</w:t>
      </w:r>
    </w:p>
    <w:p w14:paraId="5EEDE4F4" w14:textId="77777777" w:rsidR="006200A5" w:rsidRPr="00E83BAD" w:rsidRDefault="006200A5" w:rsidP="00A11E67">
      <w:pPr>
        <w:widowControl w:val="0"/>
        <w:autoSpaceDE w:val="0"/>
        <w:autoSpaceDN w:val="0"/>
        <w:adjustRightInd w:val="0"/>
        <w:jc w:val="both"/>
        <w:rPr>
          <w:noProof/>
        </w:rPr>
      </w:pPr>
    </w:p>
    <w:p w14:paraId="0A0E3C39" w14:textId="0F02DE7E" w:rsidR="009A552F" w:rsidRDefault="009A552F" w:rsidP="00A11E67">
      <w:pPr>
        <w:widowControl w:val="0"/>
        <w:autoSpaceDE w:val="0"/>
        <w:autoSpaceDN w:val="0"/>
        <w:adjustRightInd w:val="0"/>
        <w:jc w:val="both"/>
        <w:rPr>
          <w:noProof/>
        </w:rPr>
      </w:pPr>
      <w:r w:rsidRPr="00E83BAD">
        <w:rPr>
          <w:noProof/>
        </w:rPr>
        <w:t xml:space="preserve">UNFCCC. </w:t>
      </w:r>
      <w:r w:rsidRPr="00E83BAD">
        <w:rPr>
          <w:iCs/>
          <w:noProof/>
        </w:rPr>
        <w:t>Annual report of the administrator of the international transaction log under the Kyoto Pr</w:t>
      </w:r>
      <w:r w:rsidR="00661E98" w:rsidRPr="00E83BAD">
        <w:rPr>
          <w:iCs/>
          <w:noProof/>
        </w:rPr>
        <w:t xml:space="preserve">otocol. Note by the secretariat </w:t>
      </w:r>
      <w:r w:rsidR="00661E98" w:rsidRPr="00E83BAD">
        <w:rPr>
          <w:noProof/>
        </w:rPr>
        <w:t>No. FCCC/SBI/2013/INF.16</w:t>
      </w:r>
      <w:r w:rsidRPr="00E83BAD">
        <w:rPr>
          <w:noProof/>
        </w:rPr>
        <w:t>. Geneva.</w:t>
      </w:r>
      <w:r w:rsidR="00E60B32">
        <w:rPr>
          <w:noProof/>
        </w:rPr>
        <w:t xml:space="preserve"> 2013.</w:t>
      </w:r>
    </w:p>
    <w:p w14:paraId="175DECB2" w14:textId="77777777" w:rsidR="006200A5" w:rsidRPr="00E83BAD" w:rsidRDefault="006200A5" w:rsidP="00A11E67">
      <w:pPr>
        <w:widowControl w:val="0"/>
        <w:autoSpaceDE w:val="0"/>
        <w:autoSpaceDN w:val="0"/>
        <w:adjustRightInd w:val="0"/>
        <w:jc w:val="both"/>
        <w:rPr>
          <w:noProof/>
        </w:rPr>
      </w:pPr>
    </w:p>
    <w:p w14:paraId="5F28FEF1" w14:textId="58601A59" w:rsidR="009A552F" w:rsidRDefault="009A552F" w:rsidP="00A11E67">
      <w:pPr>
        <w:widowControl w:val="0"/>
        <w:autoSpaceDE w:val="0"/>
        <w:autoSpaceDN w:val="0"/>
        <w:adjustRightInd w:val="0"/>
        <w:jc w:val="both"/>
        <w:rPr>
          <w:noProof/>
        </w:rPr>
      </w:pPr>
      <w:r w:rsidRPr="00E83BAD">
        <w:rPr>
          <w:noProof/>
        </w:rPr>
        <w:t>UNFCCC. CDM: About CDM.</w:t>
      </w:r>
      <w:r w:rsidR="00E60B32" w:rsidRPr="00E83BAD">
        <w:rPr>
          <w:noProof/>
        </w:rPr>
        <w:t xml:space="preserve"> 2015a.</w:t>
      </w:r>
    </w:p>
    <w:p w14:paraId="160D3212" w14:textId="77777777" w:rsidR="006200A5" w:rsidRPr="00E83BAD" w:rsidRDefault="006200A5" w:rsidP="00A11E67">
      <w:pPr>
        <w:widowControl w:val="0"/>
        <w:autoSpaceDE w:val="0"/>
        <w:autoSpaceDN w:val="0"/>
        <w:adjustRightInd w:val="0"/>
        <w:jc w:val="both"/>
        <w:rPr>
          <w:noProof/>
        </w:rPr>
      </w:pPr>
    </w:p>
    <w:p w14:paraId="42C95225" w14:textId="1998C06B" w:rsidR="009A552F" w:rsidRDefault="009A552F" w:rsidP="00A11E67">
      <w:pPr>
        <w:widowControl w:val="0"/>
        <w:autoSpaceDE w:val="0"/>
        <w:autoSpaceDN w:val="0"/>
        <w:adjustRightInd w:val="0"/>
        <w:jc w:val="both"/>
        <w:rPr>
          <w:noProof/>
        </w:rPr>
      </w:pPr>
      <w:r w:rsidRPr="00E83BAD">
        <w:rPr>
          <w:noProof/>
        </w:rPr>
        <w:t>UNFCCC. CDM Project Search.</w:t>
      </w:r>
      <w:r w:rsidR="00E60B32" w:rsidRPr="00E83BAD">
        <w:rPr>
          <w:noProof/>
        </w:rPr>
        <w:t xml:space="preserve"> 2015b.</w:t>
      </w:r>
    </w:p>
    <w:p w14:paraId="15D05277" w14:textId="77777777" w:rsidR="006200A5" w:rsidRPr="00E83BAD" w:rsidRDefault="006200A5" w:rsidP="00A11E67">
      <w:pPr>
        <w:widowControl w:val="0"/>
        <w:autoSpaceDE w:val="0"/>
        <w:autoSpaceDN w:val="0"/>
        <w:adjustRightInd w:val="0"/>
        <w:jc w:val="both"/>
        <w:rPr>
          <w:noProof/>
        </w:rPr>
      </w:pPr>
    </w:p>
    <w:p w14:paraId="4061332D" w14:textId="1BB7F528" w:rsidR="009A552F" w:rsidRDefault="009A552F" w:rsidP="00A11E67">
      <w:pPr>
        <w:widowControl w:val="0"/>
        <w:autoSpaceDE w:val="0"/>
        <w:autoSpaceDN w:val="0"/>
        <w:adjustRightInd w:val="0"/>
        <w:jc w:val="both"/>
        <w:rPr>
          <w:noProof/>
        </w:rPr>
      </w:pPr>
      <w:r w:rsidRPr="00E83BAD">
        <w:rPr>
          <w:noProof/>
        </w:rPr>
        <w:t>UNFCCC. Kyoto Protocol.</w:t>
      </w:r>
      <w:r w:rsidR="00E60B32" w:rsidRPr="00E83BAD">
        <w:rPr>
          <w:noProof/>
        </w:rPr>
        <w:t xml:space="preserve"> 2015c.</w:t>
      </w:r>
    </w:p>
    <w:p w14:paraId="17562944" w14:textId="77777777" w:rsidR="006200A5" w:rsidRPr="00E83BAD" w:rsidRDefault="006200A5" w:rsidP="00A11E67">
      <w:pPr>
        <w:widowControl w:val="0"/>
        <w:autoSpaceDE w:val="0"/>
        <w:autoSpaceDN w:val="0"/>
        <w:adjustRightInd w:val="0"/>
        <w:jc w:val="both"/>
        <w:rPr>
          <w:noProof/>
        </w:rPr>
      </w:pPr>
    </w:p>
    <w:p w14:paraId="6BF5281A" w14:textId="2C913D5A" w:rsidR="009A552F" w:rsidRDefault="009A552F" w:rsidP="00A11E67">
      <w:pPr>
        <w:widowControl w:val="0"/>
        <w:autoSpaceDE w:val="0"/>
        <w:autoSpaceDN w:val="0"/>
        <w:adjustRightInd w:val="0"/>
        <w:jc w:val="both"/>
        <w:rPr>
          <w:noProof/>
        </w:rPr>
      </w:pPr>
      <w:r w:rsidRPr="00E83BAD">
        <w:rPr>
          <w:noProof/>
        </w:rPr>
        <w:t>UNFCCC. Methodological tool Investment analysis.</w:t>
      </w:r>
      <w:r w:rsidR="00E60B32" w:rsidRPr="00E83BAD">
        <w:rPr>
          <w:noProof/>
        </w:rPr>
        <w:t xml:space="preserve"> 2016.</w:t>
      </w:r>
    </w:p>
    <w:p w14:paraId="60F09B4F" w14:textId="77777777" w:rsidR="006200A5" w:rsidRPr="00E83BAD" w:rsidRDefault="006200A5" w:rsidP="00A11E67">
      <w:pPr>
        <w:widowControl w:val="0"/>
        <w:autoSpaceDE w:val="0"/>
        <w:autoSpaceDN w:val="0"/>
        <w:adjustRightInd w:val="0"/>
        <w:jc w:val="both"/>
        <w:rPr>
          <w:noProof/>
        </w:rPr>
      </w:pPr>
    </w:p>
    <w:p w14:paraId="371056B8" w14:textId="573508E8" w:rsidR="009A552F" w:rsidRDefault="009A552F" w:rsidP="00A11E67">
      <w:pPr>
        <w:widowControl w:val="0"/>
        <w:autoSpaceDE w:val="0"/>
        <w:autoSpaceDN w:val="0"/>
        <w:adjustRightInd w:val="0"/>
        <w:jc w:val="both"/>
        <w:rPr>
          <w:noProof/>
        </w:rPr>
      </w:pPr>
      <w:r w:rsidRPr="00E83BAD">
        <w:rPr>
          <w:noProof/>
        </w:rPr>
        <w:t>UNFCCC. CDM: GHG emission reductions fro</w:t>
      </w:r>
      <w:r w:rsidR="00661E98" w:rsidRPr="00E83BAD">
        <w:rPr>
          <w:noProof/>
        </w:rPr>
        <w:t>m manure management systems.</w:t>
      </w:r>
      <w:r w:rsidR="00E60B32" w:rsidRPr="00E83BAD">
        <w:rPr>
          <w:noProof/>
        </w:rPr>
        <w:t xml:space="preserve"> 2017.</w:t>
      </w:r>
    </w:p>
    <w:p w14:paraId="0391CBCA" w14:textId="77777777" w:rsidR="006200A5" w:rsidRPr="00E83BAD" w:rsidRDefault="006200A5" w:rsidP="00A11E67">
      <w:pPr>
        <w:widowControl w:val="0"/>
        <w:autoSpaceDE w:val="0"/>
        <w:autoSpaceDN w:val="0"/>
        <w:adjustRightInd w:val="0"/>
        <w:jc w:val="both"/>
        <w:rPr>
          <w:noProof/>
        </w:rPr>
      </w:pPr>
    </w:p>
    <w:p w14:paraId="08DBB2A1" w14:textId="41628F99" w:rsidR="009A552F" w:rsidRDefault="009A552F" w:rsidP="00A11E67">
      <w:pPr>
        <w:widowControl w:val="0"/>
        <w:autoSpaceDE w:val="0"/>
        <w:autoSpaceDN w:val="0"/>
        <w:adjustRightInd w:val="0"/>
        <w:jc w:val="both"/>
        <w:rPr>
          <w:noProof/>
        </w:rPr>
      </w:pPr>
      <w:r w:rsidRPr="00E83BAD">
        <w:rPr>
          <w:noProof/>
        </w:rPr>
        <w:t>USDA. Conservation Practice Standa</w:t>
      </w:r>
      <w:r w:rsidR="00661E98" w:rsidRPr="00E83BAD">
        <w:rPr>
          <w:noProof/>
        </w:rPr>
        <w:t>rd Waste Storage Facility (</w:t>
      </w:r>
      <w:r w:rsidRPr="00E83BAD">
        <w:rPr>
          <w:noProof/>
        </w:rPr>
        <w:t>313).</w:t>
      </w:r>
      <w:r w:rsidR="00E60B32" w:rsidRPr="00E83BAD">
        <w:rPr>
          <w:noProof/>
        </w:rPr>
        <w:t xml:space="preserve"> 2016.</w:t>
      </w:r>
    </w:p>
    <w:p w14:paraId="3F2DCD63" w14:textId="77777777" w:rsidR="006200A5" w:rsidRPr="00E83BAD" w:rsidRDefault="006200A5" w:rsidP="00A11E67">
      <w:pPr>
        <w:widowControl w:val="0"/>
        <w:autoSpaceDE w:val="0"/>
        <w:autoSpaceDN w:val="0"/>
        <w:adjustRightInd w:val="0"/>
        <w:jc w:val="both"/>
        <w:rPr>
          <w:noProof/>
        </w:rPr>
      </w:pPr>
    </w:p>
    <w:p w14:paraId="6F607F89" w14:textId="4B291195" w:rsidR="009A552F" w:rsidRDefault="009A552F" w:rsidP="00A11E67">
      <w:pPr>
        <w:widowControl w:val="0"/>
        <w:autoSpaceDE w:val="0"/>
        <w:autoSpaceDN w:val="0"/>
        <w:adjustRightInd w:val="0"/>
        <w:jc w:val="both"/>
        <w:rPr>
          <w:noProof/>
        </w:rPr>
      </w:pPr>
      <w:r w:rsidRPr="00E83BAD">
        <w:rPr>
          <w:noProof/>
        </w:rPr>
        <w:t>USDA. Conservation Practice Standard Waste Storage Facility (359).</w:t>
      </w:r>
      <w:r w:rsidR="00E60B32" w:rsidRPr="00E83BAD">
        <w:rPr>
          <w:noProof/>
        </w:rPr>
        <w:t xml:space="preserve"> 2017.</w:t>
      </w:r>
    </w:p>
    <w:p w14:paraId="7032651B" w14:textId="77777777" w:rsidR="006200A5" w:rsidRPr="00E83BAD" w:rsidRDefault="006200A5" w:rsidP="00A11E67">
      <w:pPr>
        <w:widowControl w:val="0"/>
        <w:autoSpaceDE w:val="0"/>
        <w:autoSpaceDN w:val="0"/>
        <w:adjustRightInd w:val="0"/>
        <w:jc w:val="both"/>
        <w:rPr>
          <w:noProof/>
        </w:rPr>
      </w:pPr>
    </w:p>
    <w:p w14:paraId="7D8364C7" w14:textId="7786A693" w:rsidR="00E60B32" w:rsidRPr="00A44975" w:rsidRDefault="00E60B32" w:rsidP="00A11E67">
      <w:pPr>
        <w:jc w:val="both"/>
        <w:rPr>
          <w:lang w:val="pt-BR"/>
        </w:rPr>
      </w:pPr>
      <w:r w:rsidRPr="00A44975">
        <w:rPr>
          <w:color w:val="222222"/>
          <w:shd w:val="clear" w:color="auto" w:fill="FFFFFF"/>
          <w:lang w:val="pt-BR"/>
        </w:rPr>
        <w:t xml:space="preserve">VALENTE, </w:t>
      </w:r>
      <w:r w:rsidRPr="00A44975">
        <w:rPr>
          <w:color w:val="222222"/>
          <w:shd w:val="clear" w:color="auto" w:fill="FFFFFF"/>
          <w:lang w:val="pt-BR"/>
        </w:rPr>
        <w:t>N.</w:t>
      </w:r>
      <w:r w:rsidRPr="00A44975">
        <w:rPr>
          <w:color w:val="222222"/>
          <w:shd w:val="clear" w:color="auto" w:fill="FFFFFF"/>
          <w:lang w:val="pt-BR"/>
        </w:rPr>
        <w:t xml:space="preserve"> T</w:t>
      </w:r>
      <w:r w:rsidRPr="00A44975">
        <w:rPr>
          <w:color w:val="222222"/>
          <w:shd w:val="clear" w:color="auto" w:fill="FFFFFF"/>
          <w:lang w:val="pt-BR"/>
        </w:rPr>
        <w:t>.</w:t>
      </w:r>
      <w:r w:rsidRPr="00A44975">
        <w:rPr>
          <w:color w:val="222222"/>
          <w:shd w:val="clear" w:color="auto" w:fill="FFFFFF"/>
          <w:lang w:val="pt-BR"/>
        </w:rPr>
        <w:t xml:space="preserve"> Z</w:t>
      </w:r>
      <w:r w:rsidRPr="00A44975">
        <w:rPr>
          <w:color w:val="222222"/>
          <w:shd w:val="clear" w:color="auto" w:fill="FFFFFF"/>
          <w:lang w:val="pt-BR"/>
        </w:rPr>
        <w:t>.</w:t>
      </w:r>
      <w:r w:rsidRPr="00A44975">
        <w:rPr>
          <w:color w:val="222222"/>
          <w:shd w:val="clear" w:color="auto" w:fill="FFFFFF"/>
          <w:lang w:val="pt-BR"/>
        </w:rPr>
        <w:t>; FUJINO, A. Características qualitativas da informação contábil e os atributos e dimensões de qualidade na Ciência da Informação. In:</w:t>
      </w:r>
      <w:r w:rsidRPr="00A44975">
        <w:rPr>
          <w:rStyle w:val="apple-converted-space"/>
          <w:color w:val="222222"/>
          <w:shd w:val="clear" w:color="auto" w:fill="FFFFFF"/>
          <w:lang w:val="pt-BR"/>
        </w:rPr>
        <w:t> </w:t>
      </w:r>
      <w:r w:rsidRPr="00A44975">
        <w:rPr>
          <w:b/>
          <w:bCs/>
          <w:color w:val="222222"/>
          <w:lang w:val="pt-BR"/>
        </w:rPr>
        <w:t>CONGRESSO ANPCONT</w:t>
      </w:r>
      <w:r w:rsidRPr="00A44975">
        <w:rPr>
          <w:color w:val="222222"/>
          <w:shd w:val="clear" w:color="auto" w:fill="FFFFFF"/>
          <w:lang w:val="pt-BR"/>
        </w:rPr>
        <w:t>. 2012.</w:t>
      </w:r>
    </w:p>
    <w:p w14:paraId="1E70F61E" w14:textId="77777777" w:rsidR="006200A5" w:rsidRPr="00E83BAD" w:rsidRDefault="006200A5" w:rsidP="00E60B32">
      <w:pPr>
        <w:widowControl w:val="0"/>
        <w:autoSpaceDE w:val="0"/>
        <w:autoSpaceDN w:val="0"/>
        <w:adjustRightInd w:val="0"/>
        <w:jc w:val="both"/>
        <w:rPr>
          <w:noProof/>
        </w:rPr>
      </w:pPr>
    </w:p>
    <w:p w14:paraId="260A04CF" w14:textId="687A56C7" w:rsidR="00E60B32" w:rsidRPr="00E60B32" w:rsidRDefault="00E60B32" w:rsidP="00A11E67">
      <w:pPr>
        <w:jc w:val="both"/>
      </w:pPr>
      <w:r w:rsidRPr="00A11E67">
        <w:rPr>
          <w:color w:val="222222"/>
          <w:shd w:val="clear" w:color="auto" w:fill="FFFFFF"/>
        </w:rPr>
        <w:t xml:space="preserve">WILSON, </w:t>
      </w:r>
      <w:r>
        <w:rPr>
          <w:color w:val="222222"/>
          <w:shd w:val="clear" w:color="auto" w:fill="FFFFFF"/>
        </w:rPr>
        <w:t>D.</w:t>
      </w:r>
      <w:r w:rsidRPr="00A11E67">
        <w:rPr>
          <w:color w:val="222222"/>
          <w:shd w:val="clear" w:color="auto" w:fill="FFFFFF"/>
        </w:rPr>
        <w:t xml:space="preserve"> C.; VELIS, C</w:t>
      </w:r>
      <w:r>
        <w:rPr>
          <w:color w:val="222222"/>
          <w:shd w:val="clear" w:color="auto" w:fill="FFFFFF"/>
        </w:rPr>
        <w:t>.</w:t>
      </w:r>
      <w:r w:rsidRPr="00A11E67">
        <w:rPr>
          <w:color w:val="222222"/>
          <w:shd w:val="clear" w:color="auto" w:fill="FFFFFF"/>
        </w:rPr>
        <w:t xml:space="preserve"> A. Waste management–still a global challenge in the 21st century: An evidence-based call for action. 2015.</w:t>
      </w:r>
    </w:p>
    <w:p w14:paraId="7BADA542" w14:textId="40DE4BCF" w:rsidR="00C92B40" w:rsidRPr="00E83BAD" w:rsidRDefault="009A552F" w:rsidP="00E60B32">
      <w:pPr>
        <w:widowControl w:val="0"/>
        <w:autoSpaceDE w:val="0"/>
        <w:autoSpaceDN w:val="0"/>
        <w:adjustRightInd w:val="0"/>
        <w:ind w:firstLine="709"/>
        <w:jc w:val="both"/>
      </w:pPr>
      <w:r w:rsidRPr="00E83BAD">
        <w:fldChar w:fldCharType="end"/>
      </w:r>
    </w:p>
    <w:sectPr w:rsidR="00C92B40" w:rsidRPr="00E83BAD" w:rsidSect="00F94B09">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AC1D4" w14:textId="77777777" w:rsidR="0077175A" w:rsidRDefault="0077175A" w:rsidP="009A552F">
      <w:r>
        <w:separator/>
      </w:r>
    </w:p>
  </w:endnote>
  <w:endnote w:type="continuationSeparator" w:id="0">
    <w:p w14:paraId="75217D89" w14:textId="77777777" w:rsidR="0077175A" w:rsidRDefault="0077175A" w:rsidP="009A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3687" w14:textId="77777777" w:rsidR="0077175A" w:rsidRDefault="0077175A" w:rsidP="009A552F">
      <w:r>
        <w:separator/>
      </w:r>
    </w:p>
  </w:footnote>
  <w:footnote w:type="continuationSeparator" w:id="0">
    <w:p w14:paraId="384707D0" w14:textId="77777777" w:rsidR="0077175A" w:rsidRDefault="0077175A" w:rsidP="009A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67958" w14:textId="77777777" w:rsidR="006A489C" w:rsidRDefault="006A489C" w:rsidP="00BC51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665F"/>
    <w:multiLevelType w:val="multilevel"/>
    <w:tmpl w:val="71D6874E"/>
    <w:lvl w:ilvl="0">
      <w:start w:val="1"/>
      <w:numFmt w:val="decimal"/>
      <w:pStyle w:val="Heading2"/>
      <w:lvlText w:val="%1."/>
      <w:lvlJc w:val="left"/>
      <w:pPr>
        <w:ind w:left="720" w:hanging="360"/>
      </w:pPr>
      <w:rPr>
        <w:b/>
      </w:rPr>
    </w:lvl>
    <w:lvl w:ilvl="1">
      <w:start w:val="1"/>
      <w:numFmt w:val="decimal"/>
      <w:isLgl/>
      <w:lvlText w:val="%1.%2"/>
      <w:lvlJc w:val="left"/>
      <w:pPr>
        <w:ind w:left="943" w:hanging="48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 w15:restartNumberingAfterBreak="0">
    <w:nsid w:val="317A4362"/>
    <w:multiLevelType w:val="multilevel"/>
    <w:tmpl w:val="BFACA5DC"/>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1BD024D"/>
    <w:multiLevelType w:val="multilevel"/>
    <w:tmpl w:val="E49E40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440366"/>
    <w:multiLevelType w:val="multilevel"/>
    <w:tmpl w:val="19A29A00"/>
    <w:lvl w:ilvl="0">
      <w:start w:val="2"/>
      <w:numFmt w:val="decimal"/>
      <w:lvlText w:val="%1"/>
      <w:lvlJc w:val="left"/>
      <w:pPr>
        <w:ind w:left="360" w:hanging="360"/>
      </w:pPr>
      <w:rPr>
        <w:rFonts w:hint="default"/>
        <w:color w:val="212121"/>
      </w:rPr>
    </w:lvl>
    <w:lvl w:ilvl="1">
      <w:start w:val="2"/>
      <w:numFmt w:val="decimal"/>
      <w:lvlText w:val="%1.%2"/>
      <w:lvlJc w:val="left"/>
      <w:pPr>
        <w:ind w:left="1069" w:hanging="360"/>
      </w:pPr>
      <w:rPr>
        <w:rFonts w:hint="default"/>
        <w:color w:val="212121"/>
      </w:rPr>
    </w:lvl>
    <w:lvl w:ilvl="2">
      <w:start w:val="1"/>
      <w:numFmt w:val="decimal"/>
      <w:lvlText w:val="%1.%2.%3"/>
      <w:lvlJc w:val="left"/>
      <w:pPr>
        <w:ind w:left="2138" w:hanging="720"/>
      </w:pPr>
      <w:rPr>
        <w:rFonts w:hint="default"/>
        <w:color w:val="212121"/>
      </w:rPr>
    </w:lvl>
    <w:lvl w:ilvl="3">
      <w:start w:val="1"/>
      <w:numFmt w:val="decimal"/>
      <w:lvlText w:val="%1.%2.%3.%4"/>
      <w:lvlJc w:val="left"/>
      <w:pPr>
        <w:ind w:left="2847" w:hanging="720"/>
      </w:pPr>
      <w:rPr>
        <w:rFonts w:hint="default"/>
        <w:color w:val="212121"/>
      </w:rPr>
    </w:lvl>
    <w:lvl w:ilvl="4">
      <w:start w:val="1"/>
      <w:numFmt w:val="decimal"/>
      <w:lvlText w:val="%1.%2.%3.%4.%5"/>
      <w:lvlJc w:val="left"/>
      <w:pPr>
        <w:ind w:left="3916" w:hanging="1080"/>
      </w:pPr>
      <w:rPr>
        <w:rFonts w:hint="default"/>
        <w:color w:val="212121"/>
      </w:rPr>
    </w:lvl>
    <w:lvl w:ilvl="5">
      <w:start w:val="1"/>
      <w:numFmt w:val="decimal"/>
      <w:lvlText w:val="%1.%2.%3.%4.%5.%6"/>
      <w:lvlJc w:val="left"/>
      <w:pPr>
        <w:ind w:left="4625" w:hanging="1080"/>
      </w:pPr>
      <w:rPr>
        <w:rFonts w:hint="default"/>
        <w:color w:val="212121"/>
      </w:rPr>
    </w:lvl>
    <w:lvl w:ilvl="6">
      <w:start w:val="1"/>
      <w:numFmt w:val="decimal"/>
      <w:lvlText w:val="%1.%2.%3.%4.%5.%6.%7"/>
      <w:lvlJc w:val="left"/>
      <w:pPr>
        <w:ind w:left="5694" w:hanging="1440"/>
      </w:pPr>
      <w:rPr>
        <w:rFonts w:hint="default"/>
        <w:color w:val="212121"/>
      </w:rPr>
    </w:lvl>
    <w:lvl w:ilvl="7">
      <w:start w:val="1"/>
      <w:numFmt w:val="decimal"/>
      <w:lvlText w:val="%1.%2.%3.%4.%5.%6.%7.%8"/>
      <w:lvlJc w:val="left"/>
      <w:pPr>
        <w:ind w:left="6403" w:hanging="1440"/>
      </w:pPr>
      <w:rPr>
        <w:rFonts w:hint="default"/>
        <w:color w:val="212121"/>
      </w:rPr>
    </w:lvl>
    <w:lvl w:ilvl="8">
      <w:start w:val="1"/>
      <w:numFmt w:val="decimal"/>
      <w:lvlText w:val="%1.%2.%3.%4.%5.%6.%7.%8.%9"/>
      <w:lvlJc w:val="left"/>
      <w:pPr>
        <w:ind w:left="7472" w:hanging="1800"/>
      </w:pPr>
      <w:rPr>
        <w:rFonts w:hint="default"/>
        <w:color w:val="212121"/>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3MDc2MDYwNDQ2MTJT0lEKTi0uzszPAykwqgUAKUcL6iwAAAA="/>
  </w:docVars>
  <w:rsids>
    <w:rsidRoot w:val="009A552F"/>
    <w:rsid w:val="0002453E"/>
    <w:rsid w:val="000A4F5B"/>
    <w:rsid w:val="000D34AA"/>
    <w:rsid w:val="001120ED"/>
    <w:rsid w:val="0011235E"/>
    <w:rsid w:val="0017437C"/>
    <w:rsid w:val="00181A5B"/>
    <w:rsid w:val="00182162"/>
    <w:rsid w:val="001A224D"/>
    <w:rsid w:val="00270EEC"/>
    <w:rsid w:val="00274E89"/>
    <w:rsid w:val="002C7F46"/>
    <w:rsid w:val="002E29DD"/>
    <w:rsid w:val="002E5AF9"/>
    <w:rsid w:val="00321CB2"/>
    <w:rsid w:val="00414BE6"/>
    <w:rsid w:val="00437973"/>
    <w:rsid w:val="004475C1"/>
    <w:rsid w:val="004A08CD"/>
    <w:rsid w:val="004A0F98"/>
    <w:rsid w:val="00534743"/>
    <w:rsid w:val="0058643D"/>
    <w:rsid w:val="005D7F46"/>
    <w:rsid w:val="006200A5"/>
    <w:rsid w:val="006448C0"/>
    <w:rsid w:val="00661E98"/>
    <w:rsid w:val="006A489C"/>
    <w:rsid w:val="006F37D4"/>
    <w:rsid w:val="0075218C"/>
    <w:rsid w:val="0077175A"/>
    <w:rsid w:val="0079285B"/>
    <w:rsid w:val="00822832"/>
    <w:rsid w:val="008A482C"/>
    <w:rsid w:val="008B4318"/>
    <w:rsid w:val="008E2C21"/>
    <w:rsid w:val="00903A0B"/>
    <w:rsid w:val="009633DA"/>
    <w:rsid w:val="00983180"/>
    <w:rsid w:val="009A552F"/>
    <w:rsid w:val="00A11E67"/>
    <w:rsid w:val="00A16C12"/>
    <w:rsid w:val="00A4437F"/>
    <w:rsid w:val="00A44975"/>
    <w:rsid w:val="00AC4CD1"/>
    <w:rsid w:val="00B3183D"/>
    <w:rsid w:val="00BC51A6"/>
    <w:rsid w:val="00C14518"/>
    <w:rsid w:val="00C2316C"/>
    <w:rsid w:val="00C726BD"/>
    <w:rsid w:val="00C92B40"/>
    <w:rsid w:val="00CE23ED"/>
    <w:rsid w:val="00D07841"/>
    <w:rsid w:val="00D20E38"/>
    <w:rsid w:val="00D9241C"/>
    <w:rsid w:val="00E17B10"/>
    <w:rsid w:val="00E60B32"/>
    <w:rsid w:val="00E83BAD"/>
    <w:rsid w:val="00ED747A"/>
    <w:rsid w:val="00F10603"/>
    <w:rsid w:val="00F81178"/>
    <w:rsid w:val="00F94B09"/>
    <w:rsid w:val="00FA1C0A"/>
    <w:rsid w:val="00FD585D"/>
    <w:rsid w:val="00FE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AA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3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9A552F"/>
    <w:pPr>
      <w:keepNext/>
      <w:keepLines/>
      <w:numPr>
        <w:numId w:val="4"/>
      </w:numPr>
      <w:spacing w:before="40" w:line="276" w:lineRule="auto"/>
      <w:ind w:left="357" w:firstLine="0"/>
      <w:jc w:val="both"/>
      <w:outlineLvl w:val="1"/>
    </w:pPr>
    <w:rPr>
      <w:b/>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52F"/>
    <w:rPr>
      <w:rFonts w:ascii="Times New Roman" w:eastAsia="Times New Roman" w:hAnsi="Times New Roman" w:cs="Times New Roman"/>
      <w:b/>
      <w:sz w:val="24"/>
      <w:szCs w:val="26"/>
    </w:rPr>
  </w:style>
  <w:style w:type="paragraph" w:styleId="Header">
    <w:name w:val="header"/>
    <w:basedOn w:val="Normal"/>
    <w:link w:val="HeaderChar"/>
    <w:uiPriority w:val="99"/>
    <w:unhideWhenUsed/>
    <w:rsid w:val="009A552F"/>
    <w:pPr>
      <w:tabs>
        <w:tab w:val="center" w:pos="4252"/>
        <w:tab w:val="right" w:pos="8504"/>
      </w:tabs>
    </w:pPr>
    <w:rPr>
      <w:rFonts w:ascii="Calibri" w:eastAsia="Calibri" w:hAnsi="Calibri"/>
      <w:sz w:val="22"/>
      <w:szCs w:val="22"/>
      <w:lang w:val="pt-BR"/>
    </w:rPr>
  </w:style>
  <w:style w:type="character" w:customStyle="1" w:styleId="HeaderChar">
    <w:name w:val="Header Char"/>
    <w:basedOn w:val="DefaultParagraphFont"/>
    <w:link w:val="Header"/>
    <w:uiPriority w:val="99"/>
    <w:rsid w:val="009A552F"/>
    <w:rPr>
      <w:rFonts w:ascii="Calibri" w:eastAsia="Calibri" w:hAnsi="Calibri" w:cs="Times New Roman"/>
    </w:rPr>
  </w:style>
  <w:style w:type="paragraph" w:styleId="Footer">
    <w:name w:val="footer"/>
    <w:basedOn w:val="Normal"/>
    <w:link w:val="FooterChar"/>
    <w:uiPriority w:val="99"/>
    <w:unhideWhenUsed/>
    <w:rsid w:val="009A552F"/>
    <w:pPr>
      <w:tabs>
        <w:tab w:val="center" w:pos="4252"/>
        <w:tab w:val="right" w:pos="8504"/>
      </w:tabs>
    </w:pPr>
    <w:rPr>
      <w:rFonts w:ascii="Calibri" w:eastAsia="Calibri" w:hAnsi="Calibri"/>
      <w:sz w:val="22"/>
      <w:szCs w:val="22"/>
      <w:lang w:val="pt-BR"/>
    </w:rPr>
  </w:style>
  <w:style w:type="character" w:customStyle="1" w:styleId="FooterChar">
    <w:name w:val="Footer Char"/>
    <w:basedOn w:val="DefaultParagraphFont"/>
    <w:link w:val="Footer"/>
    <w:uiPriority w:val="99"/>
    <w:rsid w:val="009A552F"/>
    <w:rPr>
      <w:rFonts w:ascii="Calibri" w:eastAsia="Calibri" w:hAnsi="Calibri" w:cs="Times New Roman"/>
    </w:rPr>
  </w:style>
  <w:style w:type="character" w:customStyle="1" w:styleId="apple-converted-space">
    <w:name w:val="apple-converted-space"/>
    <w:rsid w:val="009A552F"/>
  </w:style>
  <w:style w:type="paragraph" w:styleId="HTMLPreformatted">
    <w:name w:val="HTML Preformatted"/>
    <w:basedOn w:val="Normal"/>
    <w:link w:val="HTMLPreformattedChar"/>
    <w:uiPriority w:val="99"/>
    <w:unhideWhenUsed/>
    <w:rsid w:val="009A5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9A552F"/>
    <w:rPr>
      <w:rFonts w:ascii="Courier New" w:eastAsia="Times New Roman" w:hAnsi="Courier New" w:cs="Courier New"/>
      <w:sz w:val="20"/>
      <w:szCs w:val="20"/>
      <w:lang w:eastAsia="pt-BR"/>
    </w:rPr>
  </w:style>
  <w:style w:type="paragraph" w:styleId="ListParagraph">
    <w:name w:val="List Paragraph"/>
    <w:basedOn w:val="Normal"/>
    <w:uiPriority w:val="34"/>
    <w:qFormat/>
    <w:rsid w:val="009A552F"/>
    <w:pPr>
      <w:spacing w:after="200" w:line="276" w:lineRule="auto"/>
      <w:ind w:left="720" w:firstLine="709"/>
      <w:contextualSpacing/>
      <w:jc w:val="both"/>
    </w:pPr>
    <w:rPr>
      <w:rFonts w:eastAsia="Calibri"/>
      <w:szCs w:val="22"/>
      <w:lang w:val="pt-BR"/>
    </w:rPr>
  </w:style>
  <w:style w:type="paragraph" w:styleId="CommentText">
    <w:name w:val="annotation text"/>
    <w:basedOn w:val="Normal"/>
    <w:link w:val="CommentTextChar"/>
    <w:uiPriority w:val="99"/>
    <w:unhideWhenUsed/>
    <w:rsid w:val="009A552F"/>
    <w:pPr>
      <w:spacing w:after="200"/>
      <w:ind w:firstLine="709"/>
      <w:jc w:val="both"/>
    </w:pPr>
    <w:rPr>
      <w:rFonts w:eastAsia="Calibri"/>
      <w:sz w:val="20"/>
      <w:szCs w:val="20"/>
      <w:lang w:val="pt-BR"/>
    </w:rPr>
  </w:style>
  <w:style w:type="character" w:customStyle="1" w:styleId="CommentTextChar">
    <w:name w:val="Comment Text Char"/>
    <w:basedOn w:val="DefaultParagraphFont"/>
    <w:link w:val="CommentText"/>
    <w:uiPriority w:val="99"/>
    <w:rsid w:val="009A552F"/>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E17B10"/>
    <w:rPr>
      <w:rFonts w:ascii="Segoe UI" w:eastAsia="Calibri" w:hAnsi="Segoe UI" w:cs="Segoe UI"/>
      <w:sz w:val="18"/>
      <w:szCs w:val="18"/>
      <w:lang w:val="pt-BR"/>
    </w:rPr>
  </w:style>
  <w:style w:type="character" w:customStyle="1" w:styleId="BalloonTextChar">
    <w:name w:val="Balloon Text Char"/>
    <w:basedOn w:val="DefaultParagraphFont"/>
    <w:link w:val="BalloonText"/>
    <w:uiPriority w:val="99"/>
    <w:semiHidden/>
    <w:rsid w:val="00E17B1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17B10"/>
    <w:rPr>
      <w:sz w:val="16"/>
      <w:szCs w:val="16"/>
    </w:rPr>
  </w:style>
  <w:style w:type="paragraph" w:styleId="CommentSubject">
    <w:name w:val="annotation subject"/>
    <w:basedOn w:val="CommentText"/>
    <w:next w:val="CommentText"/>
    <w:link w:val="CommentSubjectChar"/>
    <w:uiPriority w:val="99"/>
    <w:semiHidden/>
    <w:unhideWhenUsed/>
    <w:rsid w:val="00E17B10"/>
    <w:pPr>
      <w:ind w:firstLine="0"/>
      <w:jc w:val="left"/>
    </w:pPr>
    <w:rPr>
      <w:rFonts w:ascii="Calibri" w:hAnsi="Calibri"/>
      <w:b/>
      <w:bCs/>
    </w:rPr>
  </w:style>
  <w:style w:type="character" w:customStyle="1" w:styleId="CommentSubjectChar">
    <w:name w:val="Comment Subject Char"/>
    <w:basedOn w:val="CommentTextChar"/>
    <w:link w:val="CommentSubject"/>
    <w:uiPriority w:val="99"/>
    <w:semiHidden/>
    <w:rsid w:val="00E17B10"/>
    <w:rPr>
      <w:rFonts w:ascii="Calibri" w:eastAsia="Calibri" w:hAnsi="Calibri" w:cs="Times New Roman"/>
      <w:b/>
      <w:bCs/>
      <w:sz w:val="20"/>
      <w:szCs w:val="20"/>
    </w:rPr>
  </w:style>
  <w:style w:type="paragraph" w:styleId="NormalWeb">
    <w:name w:val="Normal (Web)"/>
    <w:basedOn w:val="Normal"/>
    <w:uiPriority w:val="99"/>
    <w:semiHidden/>
    <w:unhideWhenUsed/>
    <w:rsid w:val="00F94B09"/>
    <w:pPr>
      <w:spacing w:before="100" w:beforeAutospacing="1" w:after="100" w:afterAutospacing="1"/>
    </w:pPr>
    <w:rPr>
      <w:lang w:val="pt-BR" w:eastAsia="pt-BR"/>
    </w:rPr>
  </w:style>
  <w:style w:type="character" w:styleId="Strong">
    <w:name w:val="Strong"/>
    <w:basedOn w:val="DefaultParagraphFont"/>
    <w:uiPriority w:val="22"/>
    <w:qFormat/>
    <w:rsid w:val="00F94B09"/>
    <w:rPr>
      <w:b/>
      <w:bCs/>
    </w:rPr>
  </w:style>
  <w:style w:type="character" w:styleId="Hyperlink">
    <w:name w:val="Hyperlink"/>
    <w:basedOn w:val="DefaultParagraphFont"/>
    <w:uiPriority w:val="99"/>
    <w:unhideWhenUsed/>
    <w:rsid w:val="00C2316C"/>
    <w:rPr>
      <w:color w:val="0563C1" w:themeColor="hyperlink"/>
      <w:u w:val="single"/>
    </w:rPr>
  </w:style>
  <w:style w:type="character" w:styleId="UnresolvedMention">
    <w:name w:val="Unresolved Mention"/>
    <w:basedOn w:val="DefaultParagraphFont"/>
    <w:uiPriority w:val="99"/>
    <w:semiHidden/>
    <w:unhideWhenUsed/>
    <w:rsid w:val="0075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0943">
      <w:bodyDiv w:val="1"/>
      <w:marLeft w:val="0"/>
      <w:marRight w:val="0"/>
      <w:marTop w:val="0"/>
      <w:marBottom w:val="0"/>
      <w:divBdr>
        <w:top w:val="none" w:sz="0" w:space="0" w:color="auto"/>
        <w:left w:val="none" w:sz="0" w:space="0" w:color="auto"/>
        <w:bottom w:val="none" w:sz="0" w:space="0" w:color="auto"/>
        <w:right w:val="none" w:sz="0" w:space="0" w:color="auto"/>
      </w:divBdr>
    </w:div>
    <w:div w:id="208693223">
      <w:bodyDiv w:val="1"/>
      <w:marLeft w:val="0"/>
      <w:marRight w:val="0"/>
      <w:marTop w:val="0"/>
      <w:marBottom w:val="0"/>
      <w:divBdr>
        <w:top w:val="none" w:sz="0" w:space="0" w:color="auto"/>
        <w:left w:val="none" w:sz="0" w:space="0" w:color="auto"/>
        <w:bottom w:val="none" w:sz="0" w:space="0" w:color="auto"/>
        <w:right w:val="none" w:sz="0" w:space="0" w:color="auto"/>
      </w:divBdr>
    </w:div>
    <w:div w:id="377976047">
      <w:bodyDiv w:val="1"/>
      <w:marLeft w:val="0"/>
      <w:marRight w:val="0"/>
      <w:marTop w:val="0"/>
      <w:marBottom w:val="0"/>
      <w:divBdr>
        <w:top w:val="none" w:sz="0" w:space="0" w:color="auto"/>
        <w:left w:val="none" w:sz="0" w:space="0" w:color="auto"/>
        <w:bottom w:val="none" w:sz="0" w:space="0" w:color="auto"/>
        <w:right w:val="none" w:sz="0" w:space="0" w:color="auto"/>
      </w:divBdr>
    </w:div>
    <w:div w:id="430316944">
      <w:bodyDiv w:val="1"/>
      <w:marLeft w:val="0"/>
      <w:marRight w:val="0"/>
      <w:marTop w:val="0"/>
      <w:marBottom w:val="0"/>
      <w:divBdr>
        <w:top w:val="none" w:sz="0" w:space="0" w:color="auto"/>
        <w:left w:val="none" w:sz="0" w:space="0" w:color="auto"/>
        <w:bottom w:val="none" w:sz="0" w:space="0" w:color="auto"/>
        <w:right w:val="none" w:sz="0" w:space="0" w:color="auto"/>
      </w:divBdr>
    </w:div>
    <w:div w:id="604071289">
      <w:bodyDiv w:val="1"/>
      <w:marLeft w:val="0"/>
      <w:marRight w:val="0"/>
      <w:marTop w:val="0"/>
      <w:marBottom w:val="0"/>
      <w:divBdr>
        <w:top w:val="none" w:sz="0" w:space="0" w:color="auto"/>
        <w:left w:val="none" w:sz="0" w:space="0" w:color="auto"/>
        <w:bottom w:val="none" w:sz="0" w:space="0" w:color="auto"/>
        <w:right w:val="none" w:sz="0" w:space="0" w:color="auto"/>
      </w:divBdr>
    </w:div>
    <w:div w:id="610938503">
      <w:bodyDiv w:val="1"/>
      <w:marLeft w:val="0"/>
      <w:marRight w:val="0"/>
      <w:marTop w:val="0"/>
      <w:marBottom w:val="0"/>
      <w:divBdr>
        <w:top w:val="none" w:sz="0" w:space="0" w:color="auto"/>
        <w:left w:val="none" w:sz="0" w:space="0" w:color="auto"/>
        <w:bottom w:val="none" w:sz="0" w:space="0" w:color="auto"/>
        <w:right w:val="none" w:sz="0" w:space="0" w:color="auto"/>
      </w:divBdr>
    </w:div>
    <w:div w:id="672537954">
      <w:bodyDiv w:val="1"/>
      <w:marLeft w:val="0"/>
      <w:marRight w:val="0"/>
      <w:marTop w:val="0"/>
      <w:marBottom w:val="0"/>
      <w:divBdr>
        <w:top w:val="none" w:sz="0" w:space="0" w:color="auto"/>
        <w:left w:val="none" w:sz="0" w:space="0" w:color="auto"/>
        <w:bottom w:val="none" w:sz="0" w:space="0" w:color="auto"/>
        <w:right w:val="none" w:sz="0" w:space="0" w:color="auto"/>
      </w:divBdr>
    </w:div>
    <w:div w:id="679047074">
      <w:bodyDiv w:val="1"/>
      <w:marLeft w:val="0"/>
      <w:marRight w:val="0"/>
      <w:marTop w:val="0"/>
      <w:marBottom w:val="0"/>
      <w:divBdr>
        <w:top w:val="none" w:sz="0" w:space="0" w:color="auto"/>
        <w:left w:val="none" w:sz="0" w:space="0" w:color="auto"/>
        <w:bottom w:val="none" w:sz="0" w:space="0" w:color="auto"/>
        <w:right w:val="none" w:sz="0" w:space="0" w:color="auto"/>
      </w:divBdr>
    </w:div>
    <w:div w:id="714355429">
      <w:bodyDiv w:val="1"/>
      <w:marLeft w:val="0"/>
      <w:marRight w:val="0"/>
      <w:marTop w:val="0"/>
      <w:marBottom w:val="0"/>
      <w:divBdr>
        <w:top w:val="none" w:sz="0" w:space="0" w:color="auto"/>
        <w:left w:val="none" w:sz="0" w:space="0" w:color="auto"/>
        <w:bottom w:val="none" w:sz="0" w:space="0" w:color="auto"/>
        <w:right w:val="none" w:sz="0" w:space="0" w:color="auto"/>
      </w:divBdr>
    </w:div>
    <w:div w:id="836455194">
      <w:bodyDiv w:val="1"/>
      <w:marLeft w:val="0"/>
      <w:marRight w:val="0"/>
      <w:marTop w:val="0"/>
      <w:marBottom w:val="0"/>
      <w:divBdr>
        <w:top w:val="none" w:sz="0" w:space="0" w:color="auto"/>
        <w:left w:val="none" w:sz="0" w:space="0" w:color="auto"/>
        <w:bottom w:val="none" w:sz="0" w:space="0" w:color="auto"/>
        <w:right w:val="none" w:sz="0" w:space="0" w:color="auto"/>
      </w:divBdr>
    </w:div>
    <w:div w:id="951324166">
      <w:bodyDiv w:val="1"/>
      <w:marLeft w:val="0"/>
      <w:marRight w:val="0"/>
      <w:marTop w:val="0"/>
      <w:marBottom w:val="0"/>
      <w:divBdr>
        <w:top w:val="none" w:sz="0" w:space="0" w:color="auto"/>
        <w:left w:val="none" w:sz="0" w:space="0" w:color="auto"/>
        <w:bottom w:val="none" w:sz="0" w:space="0" w:color="auto"/>
        <w:right w:val="none" w:sz="0" w:space="0" w:color="auto"/>
      </w:divBdr>
    </w:div>
    <w:div w:id="1109659513">
      <w:bodyDiv w:val="1"/>
      <w:marLeft w:val="0"/>
      <w:marRight w:val="0"/>
      <w:marTop w:val="0"/>
      <w:marBottom w:val="0"/>
      <w:divBdr>
        <w:top w:val="none" w:sz="0" w:space="0" w:color="auto"/>
        <w:left w:val="none" w:sz="0" w:space="0" w:color="auto"/>
        <w:bottom w:val="none" w:sz="0" w:space="0" w:color="auto"/>
        <w:right w:val="none" w:sz="0" w:space="0" w:color="auto"/>
      </w:divBdr>
    </w:div>
    <w:div w:id="1210796757">
      <w:bodyDiv w:val="1"/>
      <w:marLeft w:val="0"/>
      <w:marRight w:val="0"/>
      <w:marTop w:val="0"/>
      <w:marBottom w:val="0"/>
      <w:divBdr>
        <w:top w:val="none" w:sz="0" w:space="0" w:color="auto"/>
        <w:left w:val="none" w:sz="0" w:space="0" w:color="auto"/>
        <w:bottom w:val="none" w:sz="0" w:space="0" w:color="auto"/>
        <w:right w:val="none" w:sz="0" w:space="0" w:color="auto"/>
      </w:divBdr>
    </w:div>
    <w:div w:id="1495411330">
      <w:bodyDiv w:val="1"/>
      <w:marLeft w:val="0"/>
      <w:marRight w:val="0"/>
      <w:marTop w:val="0"/>
      <w:marBottom w:val="0"/>
      <w:divBdr>
        <w:top w:val="none" w:sz="0" w:space="0" w:color="auto"/>
        <w:left w:val="none" w:sz="0" w:space="0" w:color="auto"/>
        <w:bottom w:val="none" w:sz="0" w:space="0" w:color="auto"/>
        <w:right w:val="none" w:sz="0" w:space="0" w:color="auto"/>
      </w:divBdr>
    </w:div>
    <w:div w:id="1621837577">
      <w:bodyDiv w:val="1"/>
      <w:marLeft w:val="0"/>
      <w:marRight w:val="0"/>
      <w:marTop w:val="0"/>
      <w:marBottom w:val="0"/>
      <w:divBdr>
        <w:top w:val="none" w:sz="0" w:space="0" w:color="auto"/>
        <w:left w:val="none" w:sz="0" w:space="0" w:color="auto"/>
        <w:bottom w:val="none" w:sz="0" w:space="0" w:color="auto"/>
        <w:right w:val="none" w:sz="0" w:space="0" w:color="auto"/>
      </w:divBdr>
    </w:div>
    <w:div w:id="1646154607">
      <w:bodyDiv w:val="1"/>
      <w:marLeft w:val="0"/>
      <w:marRight w:val="0"/>
      <w:marTop w:val="0"/>
      <w:marBottom w:val="0"/>
      <w:divBdr>
        <w:top w:val="none" w:sz="0" w:space="0" w:color="auto"/>
        <w:left w:val="none" w:sz="0" w:space="0" w:color="auto"/>
        <w:bottom w:val="none" w:sz="0" w:space="0" w:color="auto"/>
        <w:right w:val="none" w:sz="0" w:space="0" w:color="auto"/>
      </w:divBdr>
    </w:div>
    <w:div w:id="1715079584">
      <w:bodyDiv w:val="1"/>
      <w:marLeft w:val="0"/>
      <w:marRight w:val="0"/>
      <w:marTop w:val="0"/>
      <w:marBottom w:val="0"/>
      <w:divBdr>
        <w:top w:val="none" w:sz="0" w:space="0" w:color="auto"/>
        <w:left w:val="none" w:sz="0" w:space="0" w:color="auto"/>
        <w:bottom w:val="none" w:sz="0" w:space="0" w:color="auto"/>
        <w:right w:val="none" w:sz="0" w:space="0" w:color="auto"/>
      </w:divBdr>
    </w:div>
    <w:div w:id="1784960610">
      <w:bodyDiv w:val="1"/>
      <w:marLeft w:val="0"/>
      <w:marRight w:val="0"/>
      <w:marTop w:val="0"/>
      <w:marBottom w:val="0"/>
      <w:divBdr>
        <w:top w:val="none" w:sz="0" w:space="0" w:color="auto"/>
        <w:left w:val="none" w:sz="0" w:space="0" w:color="auto"/>
        <w:bottom w:val="none" w:sz="0" w:space="0" w:color="auto"/>
        <w:right w:val="none" w:sz="0" w:space="0" w:color="auto"/>
      </w:divBdr>
    </w:div>
    <w:div w:id="1820996978">
      <w:bodyDiv w:val="1"/>
      <w:marLeft w:val="0"/>
      <w:marRight w:val="0"/>
      <w:marTop w:val="0"/>
      <w:marBottom w:val="0"/>
      <w:divBdr>
        <w:top w:val="none" w:sz="0" w:space="0" w:color="auto"/>
        <w:left w:val="none" w:sz="0" w:space="0" w:color="auto"/>
        <w:bottom w:val="none" w:sz="0" w:space="0" w:color="auto"/>
        <w:right w:val="none" w:sz="0" w:space="0" w:color="auto"/>
      </w:divBdr>
    </w:div>
    <w:div w:id="1885408912">
      <w:bodyDiv w:val="1"/>
      <w:marLeft w:val="0"/>
      <w:marRight w:val="0"/>
      <w:marTop w:val="0"/>
      <w:marBottom w:val="0"/>
      <w:divBdr>
        <w:top w:val="none" w:sz="0" w:space="0" w:color="auto"/>
        <w:left w:val="none" w:sz="0" w:space="0" w:color="auto"/>
        <w:bottom w:val="none" w:sz="0" w:space="0" w:color="auto"/>
        <w:right w:val="none" w:sz="0" w:space="0" w:color="auto"/>
      </w:divBdr>
    </w:div>
    <w:div w:id="1897667471">
      <w:bodyDiv w:val="1"/>
      <w:marLeft w:val="0"/>
      <w:marRight w:val="0"/>
      <w:marTop w:val="0"/>
      <w:marBottom w:val="0"/>
      <w:divBdr>
        <w:top w:val="none" w:sz="0" w:space="0" w:color="auto"/>
        <w:left w:val="none" w:sz="0" w:space="0" w:color="auto"/>
        <w:bottom w:val="none" w:sz="0" w:space="0" w:color="auto"/>
        <w:right w:val="none" w:sz="0" w:space="0" w:color="auto"/>
      </w:divBdr>
    </w:div>
    <w:div w:id="1971395634">
      <w:bodyDiv w:val="1"/>
      <w:marLeft w:val="0"/>
      <w:marRight w:val="0"/>
      <w:marTop w:val="0"/>
      <w:marBottom w:val="0"/>
      <w:divBdr>
        <w:top w:val="none" w:sz="0" w:space="0" w:color="auto"/>
        <w:left w:val="none" w:sz="0" w:space="0" w:color="auto"/>
        <w:bottom w:val="none" w:sz="0" w:space="0" w:color="auto"/>
        <w:right w:val="none" w:sz="0" w:space="0" w:color="auto"/>
      </w:divBdr>
    </w:div>
    <w:div w:id="2053729785">
      <w:bodyDiv w:val="1"/>
      <w:marLeft w:val="0"/>
      <w:marRight w:val="0"/>
      <w:marTop w:val="0"/>
      <w:marBottom w:val="0"/>
      <w:divBdr>
        <w:top w:val="none" w:sz="0" w:space="0" w:color="auto"/>
        <w:left w:val="none" w:sz="0" w:space="0" w:color="auto"/>
        <w:bottom w:val="none" w:sz="0" w:space="0" w:color="auto"/>
        <w:right w:val="none" w:sz="0" w:space="0" w:color="auto"/>
      </w:divBdr>
    </w:div>
    <w:div w:id="2060780229">
      <w:bodyDiv w:val="1"/>
      <w:marLeft w:val="0"/>
      <w:marRight w:val="0"/>
      <w:marTop w:val="0"/>
      <w:marBottom w:val="0"/>
      <w:divBdr>
        <w:top w:val="none" w:sz="0" w:space="0" w:color="auto"/>
        <w:left w:val="none" w:sz="0" w:space="0" w:color="auto"/>
        <w:bottom w:val="none" w:sz="0" w:space="0" w:color="auto"/>
        <w:right w:val="none" w:sz="0" w:space="0" w:color="auto"/>
      </w:divBdr>
    </w:div>
    <w:div w:id="2066028729">
      <w:bodyDiv w:val="1"/>
      <w:marLeft w:val="0"/>
      <w:marRight w:val="0"/>
      <w:marTop w:val="0"/>
      <w:marBottom w:val="0"/>
      <w:divBdr>
        <w:top w:val="none" w:sz="0" w:space="0" w:color="auto"/>
        <w:left w:val="none" w:sz="0" w:space="0" w:color="auto"/>
        <w:bottom w:val="none" w:sz="0" w:space="0" w:color="auto"/>
        <w:right w:val="none" w:sz="0" w:space="0" w:color="auto"/>
      </w:divBdr>
    </w:div>
    <w:div w:id="2090343050">
      <w:bodyDiv w:val="1"/>
      <w:marLeft w:val="0"/>
      <w:marRight w:val="0"/>
      <w:marTop w:val="0"/>
      <w:marBottom w:val="0"/>
      <w:divBdr>
        <w:top w:val="none" w:sz="0" w:space="0" w:color="auto"/>
        <w:left w:val="none" w:sz="0" w:space="0" w:color="auto"/>
        <w:bottom w:val="none" w:sz="0" w:space="0" w:color="auto"/>
        <w:right w:val="none" w:sz="0" w:space="0" w:color="auto"/>
      </w:divBdr>
    </w:div>
    <w:div w:id="2103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celi@facc.ufrj.br"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anamolinaq@gmail.com" TargetMode="External"/><Relationship Id="rId4" Type="http://schemas.openxmlformats.org/officeDocument/2006/relationships/settings" Target="settings.xml"/><Relationship Id="rId9" Type="http://schemas.openxmlformats.org/officeDocument/2006/relationships/hyperlink" Target="mailto:bufoni@facc.ufrj.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92DC31A-4518-864F-B08B-220EF53D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20806</Words>
  <Characters>118597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2020-06-26T22:54:00Z</dcterms:created>
  <dcterms:modified xsi:type="dcterms:W3CDTF">2020-06-26T23:01:00Z</dcterms:modified>
</cp:coreProperties>
</file>